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35069" w14:textId="6B3E4C5C" w:rsidR="00ED6FE0" w:rsidRPr="00C76574" w:rsidRDefault="00C73DED">
      <w:pPr>
        <w:pStyle w:val="aff4"/>
      </w:pPr>
      <w:bookmarkStart w:id="0" w:name="_Hlk132900185"/>
      <w:r w:rsidRPr="00C76574">
        <w:t>Supplementary material</w:t>
      </w:r>
      <w:bookmarkEnd w:id="0"/>
      <w:r w:rsidRPr="00C76574">
        <w:t xml:space="preserve"> 4</w:t>
      </w:r>
    </w:p>
    <w:p w14:paraId="2810A396" w14:textId="77777777" w:rsidR="00ED6FE0" w:rsidRPr="00C76574" w:rsidRDefault="00ED6FE0">
      <w:pPr>
        <w:ind w:firstLine="420"/>
      </w:pP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1602"/>
        <w:gridCol w:w="1103"/>
        <w:gridCol w:w="1417"/>
        <w:gridCol w:w="1326"/>
        <w:gridCol w:w="1174"/>
        <w:gridCol w:w="1289"/>
        <w:gridCol w:w="1628"/>
        <w:gridCol w:w="1326"/>
        <w:gridCol w:w="1477"/>
        <w:gridCol w:w="1327"/>
        <w:gridCol w:w="1175"/>
      </w:tblGrid>
      <w:tr w:rsidR="00C76574" w:rsidRPr="00C76574" w14:paraId="4450D76B" w14:textId="77777777">
        <w:trPr>
          <w:trHeight w:val="20"/>
          <w:jc w:val="center"/>
        </w:trPr>
        <w:tc>
          <w:tcPr>
            <w:tcW w:w="552" w:type="pct"/>
            <w:vAlign w:val="center"/>
          </w:tcPr>
          <w:p w14:paraId="21608A5C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  <w:kern w:val="0"/>
              </w:rPr>
            </w:pPr>
            <w:r w:rsidRPr="00C76574">
              <w:rPr>
                <w:rStyle w:val="15"/>
                <w:rFonts w:eastAsia="Helvetica Neue"/>
                <w:b w:val="0"/>
              </w:rPr>
              <w:t>Study Reference</w:t>
            </w:r>
          </w:p>
        </w:tc>
        <w:tc>
          <w:tcPr>
            <w:tcW w:w="366" w:type="pct"/>
            <w:vAlign w:val="center"/>
          </w:tcPr>
          <w:p w14:paraId="0FA8AF3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Sequence generation</w:t>
            </w:r>
          </w:p>
        </w:tc>
        <w:tc>
          <w:tcPr>
            <w:tcW w:w="408" w:type="pct"/>
            <w:vAlign w:val="center"/>
          </w:tcPr>
          <w:p w14:paraId="5557530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Baseline characteristics</w:t>
            </w:r>
          </w:p>
        </w:tc>
        <w:tc>
          <w:tcPr>
            <w:tcW w:w="459" w:type="pct"/>
            <w:vAlign w:val="center"/>
          </w:tcPr>
          <w:p w14:paraId="121949A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Allocation concealment</w:t>
            </w:r>
          </w:p>
        </w:tc>
        <w:tc>
          <w:tcPr>
            <w:tcW w:w="408" w:type="pct"/>
            <w:vAlign w:val="center"/>
          </w:tcPr>
          <w:p w14:paraId="6F2A524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housing</w:t>
            </w:r>
          </w:p>
        </w:tc>
        <w:tc>
          <w:tcPr>
            <w:tcW w:w="408" w:type="pct"/>
            <w:vAlign w:val="center"/>
          </w:tcPr>
          <w:p w14:paraId="45A3F8E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Performance bias</w:t>
            </w:r>
          </w:p>
        </w:tc>
        <w:tc>
          <w:tcPr>
            <w:tcW w:w="561" w:type="pct"/>
            <w:vAlign w:val="center"/>
          </w:tcPr>
          <w:p w14:paraId="3E90F19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outcome assessment</w:t>
            </w:r>
          </w:p>
        </w:tc>
        <w:tc>
          <w:tcPr>
            <w:tcW w:w="459" w:type="pct"/>
            <w:vAlign w:val="center"/>
          </w:tcPr>
          <w:p w14:paraId="5991EE3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Detection bias</w:t>
            </w:r>
          </w:p>
        </w:tc>
        <w:tc>
          <w:tcPr>
            <w:tcW w:w="510" w:type="pct"/>
            <w:vAlign w:val="center"/>
          </w:tcPr>
          <w:p w14:paraId="4E6DDB6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Incomplete outcome data</w:t>
            </w:r>
          </w:p>
        </w:tc>
        <w:tc>
          <w:tcPr>
            <w:tcW w:w="459" w:type="pct"/>
            <w:vAlign w:val="center"/>
          </w:tcPr>
          <w:p w14:paraId="6786C33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Selective outcome reporting</w:t>
            </w:r>
          </w:p>
        </w:tc>
        <w:tc>
          <w:tcPr>
            <w:tcW w:w="408" w:type="pct"/>
            <w:vAlign w:val="center"/>
          </w:tcPr>
          <w:p w14:paraId="37FB71F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Other sources of bias</w:t>
            </w:r>
          </w:p>
        </w:tc>
      </w:tr>
      <w:tr w:rsidR="00C76574" w:rsidRPr="00C76574" w14:paraId="564DEB89" w14:textId="77777777">
        <w:trPr>
          <w:trHeight w:val="20"/>
          <w:jc w:val="center"/>
        </w:trPr>
        <w:tc>
          <w:tcPr>
            <w:tcW w:w="552" w:type="pct"/>
            <w:vAlign w:val="center"/>
          </w:tcPr>
          <w:p w14:paraId="6C64FBE9" w14:textId="0445DE61" w:rsidR="00ED6FE0" w:rsidRPr="00C76574" w:rsidRDefault="00C73DED">
            <w:pPr>
              <w:widowControl/>
              <w:ind w:firstLineChars="0" w:firstLine="0"/>
              <w:jc w:val="left"/>
              <w:textAlignment w:val="top"/>
              <w:rPr>
                <w:rFonts w:ascii="Times New Roman" w:hAnsi="Times New Roman"/>
                <w:kern w:val="0"/>
              </w:rPr>
            </w:pP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 xml:space="preserve">Pusic KM </w:t>
            </w:r>
            <w:r w:rsidRPr="00C76574">
              <w:rPr>
                <w:rFonts w:ascii="Times New Roman" w:eastAsia="Times New Roman Regular" w:hAnsi="Times New Roman"/>
                <w:i/>
                <w:iCs/>
                <w:kern w:val="0"/>
                <w:lang w:bidi="ar"/>
                <w14:ligatures w14:val="standardContextual"/>
              </w:rPr>
              <w:t>et al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 xml:space="preserve">. </w:t>
            </w:r>
            <w:r w:rsidRPr="00C76574">
              <w:rPr>
                <w:rFonts w:ascii="Times New Roman" w:hAnsi="Times New Roman"/>
              </w:rPr>
              <w:t>[</w:t>
            </w:r>
            <w:r w:rsidRPr="00C76574">
              <w:rPr>
                <w:rFonts w:ascii="Times New Roman" w:eastAsia="宋体" w:hAnsi="Times New Roman"/>
              </w:rPr>
              <w:t>23</w:t>
            </w:r>
            <w:r w:rsidRPr="00C76574">
              <w:rPr>
                <w:rFonts w:ascii="Times New Roman" w:hAnsi="Times New Roman"/>
              </w:rPr>
              <w:t xml:space="preserve">] 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(2014)</w:t>
            </w:r>
          </w:p>
        </w:tc>
        <w:tc>
          <w:tcPr>
            <w:tcW w:w="366" w:type="pct"/>
            <w:vAlign w:val="center"/>
          </w:tcPr>
          <w:p w14:paraId="303C9B1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20172D1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34295A0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3170228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35EA4AC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61" w:type="pct"/>
            <w:vAlign w:val="center"/>
          </w:tcPr>
          <w:p w14:paraId="78444A3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6EDF7B6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10" w:type="pct"/>
            <w:vAlign w:val="center"/>
          </w:tcPr>
          <w:p w14:paraId="0E8E792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0AC9EF4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7FED868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</w:tr>
      <w:tr w:rsidR="00C76574" w:rsidRPr="00C76574" w14:paraId="7FBE5199" w14:textId="77777777">
        <w:trPr>
          <w:trHeight w:val="20"/>
          <w:jc w:val="center"/>
        </w:trPr>
        <w:tc>
          <w:tcPr>
            <w:tcW w:w="552" w:type="pct"/>
            <w:vAlign w:val="center"/>
          </w:tcPr>
          <w:p w14:paraId="0651DD89" w14:textId="487EAF69" w:rsidR="00ED6FE0" w:rsidRPr="00C76574" w:rsidRDefault="00C73DED">
            <w:pPr>
              <w:widowControl/>
              <w:ind w:firstLineChars="0" w:firstLine="0"/>
              <w:jc w:val="left"/>
              <w:textAlignment w:val="top"/>
              <w:rPr>
                <w:rFonts w:ascii="Times New Roman" w:hAnsi="Times New Roman"/>
              </w:rPr>
            </w:pP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 xml:space="preserve">Araújo ADO </w:t>
            </w:r>
            <w:r w:rsidRPr="00C76574">
              <w:rPr>
                <w:rFonts w:ascii="Times New Roman" w:eastAsia="Times New Roman Regular" w:hAnsi="Times New Roman"/>
                <w:i/>
                <w:iCs/>
                <w:kern w:val="0"/>
                <w:lang w:bidi="ar"/>
                <w14:ligatures w14:val="standardContextual"/>
              </w:rPr>
              <w:t>et al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. [18] (2023)</w:t>
            </w:r>
          </w:p>
        </w:tc>
        <w:tc>
          <w:tcPr>
            <w:tcW w:w="366" w:type="pct"/>
            <w:vAlign w:val="center"/>
          </w:tcPr>
          <w:p w14:paraId="0DAC806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2DC79D2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5DE4CCE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2D960E7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70B6B74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561" w:type="pct"/>
            <w:vAlign w:val="center"/>
          </w:tcPr>
          <w:p w14:paraId="2CA3531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10B7DA9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10" w:type="pct"/>
            <w:vAlign w:val="center"/>
          </w:tcPr>
          <w:p w14:paraId="7849E45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45CABA3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0D57E37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</w:tr>
      <w:tr w:rsidR="00C76574" w:rsidRPr="00C76574" w14:paraId="7C9FBE70" w14:textId="77777777">
        <w:trPr>
          <w:trHeight w:val="20"/>
          <w:jc w:val="center"/>
        </w:trPr>
        <w:tc>
          <w:tcPr>
            <w:tcW w:w="552" w:type="pct"/>
            <w:vAlign w:val="center"/>
          </w:tcPr>
          <w:p w14:paraId="434D6713" w14:textId="3F1C33C6" w:rsidR="00ED6FE0" w:rsidRPr="00C76574" w:rsidRDefault="00C73DED">
            <w:pPr>
              <w:widowControl/>
              <w:ind w:firstLineChars="0" w:firstLine="0"/>
              <w:jc w:val="left"/>
              <w:textAlignment w:val="top"/>
              <w:rPr>
                <w:rFonts w:ascii="Times New Roman" w:hAnsi="Times New Roman"/>
              </w:rPr>
            </w:pP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Jiang L</w:t>
            </w:r>
            <w:r w:rsidRPr="00C76574">
              <w:rPr>
                <w:rStyle w:val="font31"/>
                <w:rFonts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bidi="ar"/>
                <w14:ligatures w14:val="standardContextual"/>
              </w:rPr>
              <w:t xml:space="preserve"> </w:t>
            </w:r>
            <w:r w:rsidRPr="00C76574">
              <w:rPr>
                <w:rStyle w:val="font21"/>
                <w:rFonts w:ascii="Times New Roman" w:hAnsi="Times New Roman" w:cs="Times New Roman"/>
                <w:i/>
                <w:iCs/>
                <w:color w:val="auto"/>
                <w:sz w:val="21"/>
                <w:szCs w:val="21"/>
                <w:lang w:bidi="ar"/>
                <w14:ligatures w14:val="standardContextual"/>
              </w:rPr>
              <w:t>et al</w:t>
            </w:r>
            <w:r w:rsidRPr="00C76574">
              <w:rPr>
                <w:rStyle w:val="font21"/>
                <w:rFonts w:ascii="Times New Roman" w:hAnsi="Times New Roman" w:cs="Times New Roman"/>
                <w:color w:val="auto"/>
                <w:sz w:val="21"/>
                <w:szCs w:val="21"/>
                <w:lang w:bidi="ar"/>
                <w14:ligatures w14:val="standardContextual"/>
              </w:rPr>
              <w:t>. [15] (2019)</w:t>
            </w:r>
          </w:p>
        </w:tc>
        <w:tc>
          <w:tcPr>
            <w:tcW w:w="366" w:type="pct"/>
            <w:vAlign w:val="center"/>
          </w:tcPr>
          <w:p w14:paraId="0B780D8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17ACEFA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6071D4A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09F8948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2066511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61" w:type="pct"/>
            <w:vAlign w:val="center"/>
          </w:tcPr>
          <w:p w14:paraId="1042921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64EC2E7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10" w:type="pct"/>
            <w:vAlign w:val="center"/>
          </w:tcPr>
          <w:p w14:paraId="53BE589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4859E49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3BA323C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</w:tr>
      <w:tr w:rsidR="00C76574" w:rsidRPr="00C76574" w14:paraId="2F0FFAE5" w14:textId="77777777">
        <w:trPr>
          <w:trHeight w:val="20"/>
          <w:jc w:val="center"/>
        </w:trPr>
        <w:tc>
          <w:tcPr>
            <w:tcW w:w="552" w:type="pct"/>
            <w:vAlign w:val="center"/>
          </w:tcPr>
          <w:p w14:paraId="1759BD49" w14:textId="34D256FD" w:rsidR="00ED6FE0" w:rsidRPr="00C76574" w:rsidRDefault="00C73DED">
            <w:pPr>
              <w:widowControl/>
              <w:ind w:firstLineChars="0" w:firstLine="0"/>
              <w:jc w:val="left"/>
              <w:textAlignment w:val="top"/>
              <w:rPr>
                <w:rFonts w:ascii="Times New Roman" w:hAnsi="Times New Roman"/>
              </w:rPr>
            </w:pP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 xml:space="preserve">Pusic AD </w:t>
            </w:r>
            <w:r w:rsidRPr="00C76574">
              <w:rPr>
                <w:rFonts w:ascii="Times New Roman" w:eastAsia="Times New Roman Regular" w:hAnsi="Times New Roman"/>
                <w:i/>
                <w:iCs/>
                <w:kern w:val="0"/>
                <w:lang w:bidi="ar"/>
                <w14:ligatures w14:val="standardContextual"/>
              </w:rPr>
              <w:t>et al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. [24] (2015a)</w:t>
            </w:r>
          </w:p>
        </w:tc>
        <w:tc>
          <w:tcPr>
            <w:tcW w:w="366" w:type="pct"/>
            <w:vAlign w:val="center"/>
          </w:tcPr>
          <w:p w14:paraId="68BF50E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0E8F1D9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236EC66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6BBE3F1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7C88831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61" w:type="pct"/>
            <w:vAlign w:val="center"/>
          </w:tcPr>
          <w:p w14:paraId="1C19184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09C5A52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10" w:type="pct"/>
            <w:vAlign w:val="center"/>
          </w:tcPr>
          <w:p w14:paraId="7E5C991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4169C06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1106058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H</w:t>
            </w:r>
          </w:p>
        </w:tc>
      </w:tr>
      <w:tr w:rsidR="00C76574" w:rsidRPr="00C76574" w14:paraId="7BFC6DA4" w14:textId="77777777">
        <w:trPr>
          <w:trHeight w:val="20"/>
          <w:jc w:val="center"/>
        </w:trPr>
        <w:tc>
          <w:tcPr>
            <w:tcW w:w="552" w:type="pct"/>
            <w:vAlign w:val="center"/>
          </w:tcPr>
          <w:p w14:paraId="1318E2A9" w14:textId="72C84D91" w:rsidR="00ED6FE0" w:rsidRPr="00C76574" w:rsidRDefault="00C73DED">
            <w:pPr>
              <w:widowControl/>
              <w:ind w:firstLineChars="0" w:firstLine="0"/>
              <w:jc w:val="left"/>
              <w:textAlignment w:val="top"/>
              <w:rPr>
                <w:rFonts w:ascii="Times New Roman" w:hAnsi="Times New Roman"/>
              </w:rPr>
            </w:pP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 xml:space="preserve">Grinberg YY </w:t>
            </w:r>
            <w:r w:rsidRPr="00C76574">
              <w:rPr>
                <w:rFonts w:ascii="Times New Roman" w:eastAsia="Times New Roman Regular" w:hAnsi="Times New Roman"/>
                <w:i/>
                <w:iCs/>
                <w:kern w:val="0"/>
                <w:lang w:bidi="ar"/>
                <w14:ligatures w14:val="standardContextual"/>
              </w:rPr>
              <w:t>et al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. [25] (2013)</w:t>
            </w:r>
          </w:p>
        </w:tc>
        <w:tc>
          <w:tcPr>
            <w:tcW w:w="366" w:type="pct"/>
            <w:vAlign w:val="center"/>
          </w:tcPr>
          <w:p w14:paraId="3CBC1B1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176886A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2002256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0D60F85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5C24165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61" w:type="pct"/>
            <w:vAlign w:val="center"/>
          </w:tcPr>
          <w:p w14:paraId="6F7A07A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3784A22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10" w:type="pct"/>
            <w:vAlign w:val="center"/>
          </w:tcPr>
          <w:p w14:paraId="764CAD9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76AD7A3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7837491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H</w:t>
            </w:r>
          </w:p>
        </w:tc>
      </w:tr>
      <w:tr w:rsidR="00C76574" w:rsidRPr="00C76574" w14:paraId="49A12D63" w14:textId="77777777">
        <w:trPr>
          <w:trHeight w:val="20"/>
          <w:jc w:val="center"/>
        </w:trPr>
        <w:tc>
          <w:tcPr>
            <w:tcW w:w="552" w:type="pct"/>
            <w:vAlign w:val="center"/>
          </w:tcPr>
          <w:p w14:paraId="1E072EE1" w14:textId="0D77DF40" w:rsidR="00ED6FE0" w:rsidRPr="00C76574" w:rsidRDefault="00C73DED">
            <w:pPr>
              <w:widowControl/>
              <w:ind w:firstLineChars="0" w:firstLine="0"/>
              <w:jc w:val="left"/>
              <w:textAlignment w:val="top"/>
              <w:rPr>
                <w:rFonts w:ascii="Times New Roman" w:hAnsi="Times New Roman"/>
              </w:rPr>
            </w:pP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 xml:space="preserve">Pusic KM </w:t>
            </w:r>
            <w:r w:rsidRPr="00C76574">
              <w:rPr>
                <w:rFonts w:ascii="Times New Roman" w:eastAsia="Times New Roman Regular" w:hAnsi="Times New Roman"/>
                <w:i/>
                <w:iCs/>
                <w:kern w:val="0"/>
                <w:lang w:bidi="ar"/>
                <w14:ligatures w14:val="standardContextual"/>
              </w:rPr>
              <w:t>et al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. [26] (2019)</w:t>
            </w:r>
          </w:p>
        </w:tc>
        <w:tc>
          <w:tcPr>
            <w:tcW w:w="366" w:type="pct"/>
            <w:vAlign w:val="center"/>
          </w:tcPr>
          <w:p w14:paraId="149E42C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1674D2B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1AC48B1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0118348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18A372E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61" w:type="pct"/>
            <w:vAlign w:val="center"/>
          </w:tcPr>
          <w:p w14:paraId="517C2F0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2424475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10" w:type="pct"/>
            <w:vAlign w:val="center"/>
          </w:tcPr>
          <w:p w14:paraId="1ED0B9A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486F239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6AB5559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</w:tr>
      <w:tr w:rsidR="00C76574" w:rsidRPr="00C76574" w14:paraId="40674656" w14:textId="77777777">
        <w:trPr>
          <w:trHeight w:val="20"/>
          <w:jc w:val="center"/>
        </w:trPr>
        <w:tc>
          <w:tcPr>
            <w:tcW w:w="552" w:type="pct"/>
            <w:vAlign w:val="center"/>
          </w:tcPr>
          <w:p w14:paraId="47571D42" w14:textId="35BF4194" w:rsidR="00ED6FE0" w:rsidRPr="00C76574" w:rsidRDefault="00C73DED">
            <w:pPr>
              <w:widowControl/>
              <w:ind w:firstLineChars="0" w:firstLine="0"/>
              <w:jc w:val="left"/>
              <w:textAlignment w:val="top"/>
              <w:rPr>
                <w:rFonts w:ascii="Times New Roman" w:hAnsi="Times New Roman"/>
              </w:rPr>
            </w:pP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 xml:space="preserve">Pusic AD </w:t>
            </w:r>
            <w:r w:rsidRPr="00C76574">
              <w:rPr>
                <w:rFonts w:ascii="Times New Roman" w:eastAsia="Times New Roman Regular" w:hAnsi="Times New Roman"/>
                <w:i/>
                <w:iCs/>
                <w:kern w:val="0"/>
                <w:lang w:bidi="ar"/>
                <w14:ligatures w14:val="standardContextual"/>
              </w:rPr>
              <w:t>et al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. [27] (2015b)</w:t>
            </w:r>
          </w:p>
        </w:tc>
        <w:tc>
          <w:tcPr>
            <w:tcW w:w="366" w:type="pct"/>
            <w:vAlign w:val="center"/>
          </w:tcPr>
          <w:p w14:paraId="740A553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4B7378C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27ECDF2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4538CC5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2F0490F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61" w:type="pct"/>
            <w:vAlign w:val="center"/>
          </w:tcPr>
          <w:p w14:paraId="5D39CEE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0DC48F0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10" w:type="pct"/>
            <w:vAlign w:val="center"/>
          </w:tcPr>
          <w:p w14:paraId="48B0B29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3DC07F5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1CE2B5D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H</w:t>
            </w:r>
          </w:p>
        </w:tc>
      </w:tr>
      <w:tr w:rsidR="00C76574" w:rsidRPr="00C76574" w14:paraId="14886177" w14:textId="77777777">
        <w:trPr>
          <w:trHeight w:val="20"/>
          <w:jc w:val="center"/>
        </w:trPr>
        <w:tc>
          <w:tcPr>
            <w:tcW w:w="552" w:type="pct"/>
            <w:vAlign w:val="center"/>
          </w:tcPr>
          <w:p w14:paraId="5502186C" w14:textId="0DDB0DD2" w:rsidR="00ED6FE0" w:rsidRPr="00C76574" w:rsidRDefault="00C73DED">
            <w:pPr>
              <w:widowControl/>
              <w:ind w:firstLineChars="0" w:firstLine="0"/>
              <w:jc w:val="left"/>
              <w:textAlignment w:val="top"/>
              <w:rPr>
                <w:rFonts w:ascii="Times New Roman" w:hAnsi="Times New Roman"/>
              </w:rPr>
            </w:pP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 xml:space="preserve">Ackermann MA </w:t>
            </w:r>
            <w:r w:rsidRPr="00C76574">
              <w:rPr>
                <w:rFonts w:ascii="Times New Roman" w:eastAsia="Times New Roman Regular" w:hAnsi="Times New Roman"/>
                <w:i/>
                <w:iCs/>
                <w:kern w:val="0"/>
                <w:lang w:bidi="ar"/>
                <w14:ligatures w14:val="standardContextual"/>
              </w:rPr>
              <w:t>et al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. [13] (2024)</w:t>
            </w:r>
          </w:p>
        </w:tc>
        <w:tc>
          <w:tcPr>
            <w:tcW w:w="366" w:type="pct"/>
            <w:vAlign w:val="center"/>
          </w:tcPr>
          <w:p w14:paraId="4C6FD68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7984E29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79F5788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591D730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59D30FB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61" w:type="pct"/>
            <w:vAlign w:val="center"/>
          </w:tcPr>
          <w:p w14:paraId="110DB09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553CB95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10" w:type="pct"/>
            <w:vAlign w:val="center"/>
          </w:tcPr>
          <w:p w14:paraId="15A0388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3EA60DD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036D55F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</w:tr>
      <w:tr w:rsidR="00C76574" w:rsidRPr="00C76574" w14:paraId="20EC9EE1" w14:textId="77777777">
        <w:trPr>
          <w:trHeight w:val="20"/>
          <w:jc w:val="center"/>
        </w:trPr>
        <w:tc>
          <w:tcPr>
            <w:tcW w:w="552" w:type="pct"/>
            <w:vAlign w:val="center"/>
          </w:tcPr>
          <w:p w14:paraId="4F0FDF8E" w14:textId="57F404EE" w:rsidR="00ED6FE0" w:rsidRPr="00C76574" w:rsidRDefault="00C73DED">
            <w:pPr>
              <w:widowControl/>
              <w:ind w:firstLineChars="0" w:firstLine="0"/>
              <w:jc w:val="left"/>
              <w:textAlignment w:val="top"/>
              <w:rPr>
                <w:rFonts w:ascii="Times New Roman" w:hAnsi="Times New Roman"/>
              </w:rPr>
            </w:pP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 xml:space="preserve">Grinberg YY </w:t>
            </w:r>
            <w:r w:rsidRPr="00C76574">
              <w:rPr>
                <w:rFonts w:ascii="Times New Roman" w:eastAsia="Times New Roman Regular" w:hAnsi="Times New Roman"/>
                <w:i/>
                <w:iCs/>
                <w:kern w:val="0"/>
                <w:lang w:bidi="ar"/>
                <w14:ligatures w14:val="standardContextual"/>
              </w:rPr>
              <w:t>et al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. [28] (2012)</w:t>
            </w:r>
          </w:p>
        </w:tc>
        <w:tc>
          <w:tcPr>
            <w:tcW w:w="366" w:type="pct"/>
            <w:vAlign w:val="center"/>
          </w:tcPr>
          <w:p w14:paraId="2F0035C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361D1D4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15F8961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7CA2C8C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0BFD144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61" w:type="pct"/>
            <w:vAlign w:val="center"/>
          </w:tcPr>
          <w:p w14:paraId="07005C4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33E12A9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10" w:type="pct"/>
            <w:vAlign w:val="center"/>
          </w:tcPr>
          <w:p w14:paraId="602BED6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103F364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6411FB9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</w:tr>
      <w:tr w:rsidR="00C76574" w:rsidRPr="00C76574" w14:paraId="3DA8D770" w14:textId="77777777">
        <w:trPr>
          <w:trHeight w:val="20"/>
          <w:jc w:val="center"/>
        </w:trPr>
        <w:tc>
          <w:tcPr>
            <w:tcW w:w="552" w:type="pct"/>
            <w:vAlign w:val="center"/>
          </w:tcPr>
          <w:p w14:paraId="3097CFDE" w14:textId="476E09C2" w:rsidR="00ED6FE0" w:rsidRPr="00C76574" w:rsidRDefault="00C73DED">
            <w:pPr>
              <w:widowControl/>
              <w:ind w:firstLineChars="0" w:firstLine="0"/>
              <w:jc w:val="left"/>
              <w:textAlignment w:val="top"/>
              <w:rPr>
                <w:rFonts w:ascii="Times New Roman" w:hAnsi="Times New Roman"/>
              </w:rPr>
            </w:pP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 xml:space="preserve">Won L </w:t>
            </w:r>
            <w:r w:rsidRPr="00C76574">
              <w:rPr>
                <w:rFonts w:ascii="Times New Roman" w:eastAsia="Times New Roman Regular" w:hAnsi="Times New Roman"/>
                <w:i/>
                <w:iCs/>
                <w:kern w:val="0"/>
                <w:lang w:bidi="ar"/>
                <w14:ligatures w14:val="standardContextual"/>
              </w:rPr>
              <w:t>et al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. [29] (2020)</w:t>
            </w:r>
          </w:p>
        </w:tc>
        <w:tc>
          <w:tcPr>
            <w:tcW w:w="366" w:type="pct"/>
            <w:vAlign w:val="center"/>
          </w:tcPr>
          <w:p w14:paraId="4B0E3EF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7C92FA0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2D8EA60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5484191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6AC4145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561" w:type="pct"/>
            <w:vAlign w:val="center"/>
          </w:tcPr>
          <w:p w14:paraId="7F4D779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59F2C7B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510" w:type="pct"/>
            <w:vAlign w:val="center"/>
          </w:tcPr>
          <w:p w14:paraId="51E4466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3D6D49C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24B48D9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</w:tr>
      <w:tr w:rsidR="00C76574" w:rsidRPr="00C76574" w14:paraId="2EAA761D" w14:textId="77777777">
        <w:trPr>
          <w:trHeight w:val="20"/>
          <w:jc w:val="center"/>
        </w:trPr>
        <w:tc>
          <w:tcPr>
            <w:tcW w:w="552" w:type="pct"/>
            <w:vAlign w:val="center"/>
          </w:tcPr>
          <w:p w14:paraId="115DA7A7" w14:textId="63793582" w:rsidR="00ED6FE0" w:rsidRPr="00C76574" w:rsidRDefault="00C73DED">
            <w:pPr>
              <w:widowControl/>
              <w:ind w:firstLineChars="0" w:firstLine="0"/>
              <w:jc w:val="left"/>
              <w:textAlignment w:val="top"/>
              <w:rPr>
                <w:rFonts w:ascii="Times New Roman" w:hAnsi="Times New Roman"/>
              </w:rPr>
            </w:pP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 xml:space="preserve">Malkov A </w:t>
            </w:r>
            <w:r w:rsidRPr="00C76574">
              <w:rPr>
                <w:rFonts w:ascii="Times New Roman" w:eastAsia="Times New Roman Regular" w:hAnsi="Times New Roman"/>
                <w:i/>
                <w:iCs/>
                <w:kern w:val="0"/>
                <w:lang w:bidi="ar"/>
                <w14:ligatures w14:val="standardContextual"/>
              </w:rPr>
              <w:t>et al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. [14] (2014)</w:t>
            </w:r>
          </w:p>
        </w:tc>
        <w:tc>
          <w:tcPr>
            <w:tcW w:w="366" w:type="pct"/>
            <w:vAlign w:val="center"/>
          </w:tcPr>
          <w:p w14:paraId="50F55B7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6FC33EC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304CEC0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1207B32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4C713E4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61" w:type="pct"/>
            <w:vAlign w:val="center"/>
          </w:tcPr>
          <w:p w14:paraId="2F700D5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78BC24E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10" w:type="pct"/>
            <w:vAlign w:val="center"/>
          </w:tcPr>
          <w:p w14:paraId="64E1C15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43C3CCD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4996864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</w:tr>
      <w:tr w:rsidR="00C76574" w:rsidRPr="00C76574" w14:paraId="22F9381B" w14:textId="77777777">
        <w:trPr>
          <w:trHeight w:val="20"/>
          <w:jc w:val="center"/>
        </w:trPr>
        <w:tc>
          <w:tcPr>
            <w:tcW w:w="552" w:type="pct"/>
            <w:vAlign w:val="center"/>
          </w:tcPr>
          <w:p w14:paraId="5C81F6F9" w14:textId="1CFE4587" w:rsidR="00ED6FE0" w:rsidRPr="00C76574" w:rsidRDefault="00C73DED">
            <w:pPr>
              <w:widowControl/>
              <w:ind w:firstLineChars="0" w:firstLine="0"/>
              <w:jc w:val="left"/>
              <w:textAlignment w:val="top"/>
              <w:rPr>
                <w:rFonts w:ascii="Times New Roman" w:hAnsi="Times New Roman"/>
              </w:rPr>
            </w:pP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lastRenderedPageBreak/>
              <w:t xml:space="preserve">Viggiano A </w:t>
            </w:r>
            <w:r w:rsidRPr="00C76574">
              <w:rPr>
                <w:rFonts w:ascii="Times New Roman" w:eastAsia="Times New Roman Regular" w:hAnsi="Times New Roman"/>
                <w:i/>
                <w:iCs/>
                <w:kern w:val="0"/>
                <w:lang w:bidi="ar"/>
                <w14:ligatures w14:val="standardContextual"/>
              </w:rPr>
              <w:t>et al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. [3</w:t>
            </w:r>
            <w:r w:rsidR="00B66CA6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0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] (2011)</w:t>
            </w:r>
          </w:p>
        </w:tc>
        <w:tc>
          <w:tcPr>
            <w:tcW w:w="366" w:type="pct"/>
            <w:vAlign w:val="center"/>
          </w:tcPr>
          <w:p w14:paraId="00EC906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0E6C0F5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629458B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701D267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295A40B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61" w:type="pct"/>
            <w:vAlign w:val="center"/>
          </w:tcPr>
          <w:p w14:paraId="06713BB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410BCA4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10" w:type="pct"/>
            <w:vAlign w:val="center"/>
          </w:tcPr>
          <w:p w14:paraId="7C5B922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6002E13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69880A1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</w:tr>
      <w:tr w:rsidR="00C76574" w:rsidRPr="00C76574" w14:paraId="6B0BB374" w14:textId="77777777">
        <w:trPr>
          <w:trHeight w:val="20"/>
          <w:jc w:val="center"/>
        </w:trPr>
        <w:tc>
          <w:tcPr>
            <w:tcW w:w="552" w:type="pct"/>
            <w:vAlign w:val="center"/>
          </w:tcPr>
          <w:p w14:paraId="4DEA2C6A" w14:textId="513420A9" w:rsidR="00ED6FE0" w:rsidRPr="00C76574" w:rsidRDefault="00C73DED">
            <w:pPr>
              <w:widowControl/>
              <w:ind w:firstLineChars="0" w:firstLine="0"/>
              <w:jc w:val="left"/>
              <w:textAlignment w:val="top"/>
              <w:rPr>
                <w:rFonts w:ascii="Times New Roman" w:hAnsi="Times New Roman"/>
              </w:rPr>
            </w:pP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 xml:space="preserve">Shatillo A </w:t>
            </w:r>
            <w:r w:rsidRPr="00C76574">
              <w:rPr>
                <w:rFonts w:ascii="Times New Roman" w:eastAsia="Times New Roman Regular" w:hAnsi="Times New Roman"/>
                <w:i/>
                <w:iCs/>
                <w:kern w:val="0"/>
                <w:lang w:bidi="ar"/>
                <w14:ligatures w14:val="standardContextual"/>
              </w:rPr>
              <w:t>et al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. [3</w:t>
            </w:r>
            <w:r w:rsidR="00B66CA6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1</w:t>
            </w:r>
            <w:r w:rsidRPr="00C76574">
              <w:rPr>
                <w:rFonts w:ascii="Times New Roman" w:eastAsia="Times New Roman Regular" w:hAnsi="Times New Roman"/>
                <w:kern w:val="0"/>
                <w:lang w:bidi="ar"/>
                <w14:ligatures w14:val="standardContextual"/>
              </w:rPr>
              <w:t>] (2013)</w:t>
            </w:r>
          </w:p>
        </w:tc>
        <w:tc>
          <w:tcPr>
            <w:tcW w:w="366" w:type="pct"/>
            <w:vAlign w:val="center"/>
          </w:tcPr>
          <w:p w14:paraId="2BB6B8B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1BD95F5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7D2C113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1E9CEE5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08" w:type="pct"/>
            <w:vAlign w:val="center"/>
          </w:tcPr>
          <w:p w14:paraId="0570D34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61" w:type="pct"/>
            <w:vAlign w:val="center"/>
          </w:tcPr>
          <w:p w14:paraId="546629C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459" w:type="pct"/>
            <w:vAlign w:val="center"/>
          </w:tcPr>
          <w:p w14:paraId="6E5E839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</w:t>
            </w:r>
          </w:p>
        </w:tc>
        <w:tc>
          <w:tcPr>
            <w:tcW w:w="510" w:type="pct"/>
            <w:vAlign w:val="center"/>
          </w:tcPr>
          <w:p w14:paraId="3AEB748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59" w:type="pct"/>
            <w:vAlign w:val="center"/>
          </w:tcPr>
          <w:p w14:paraId="75E220E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  <w:tc>
          <w:tcPr>
            <w:tcW w:w="408" w:type="pct"/>
            <w:vAlign w:val="center"/>
          </w:tcPr>
          <w:p w14:paraId="7F15312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</w:t>
            </w:r>
          </w:p>
        </w:tc>
      </w:tr>
    </w:tbl>
    <w:p w14:paraId="3AF066F2" w14:textId="77777777" w:rsidR="00ED6FE0" w:rsidRPr="00C76574" w:rsidRDefault="00C73DED">
      <w:pPr>
        <w:pStyle w:val="afb"/>
      </w:pPr>
      <w:r w:rsidRPr="00C76574">
        <w:t>L: low risk; H: High risk; U: unclear.</w:t>
      </w:r>
    </w:p>
    <w:p w14:paraId="33AA2ADB" w14:textId="77777777" w:rsidR="00ED6FE0" w:rsidRPr="00C76574" w:rsidRDefault="00ED6FE0">
      <w:pPr>
        <w:ind w:firstLine="420"/>
        <w:rPr>
          <w:rFonts w:eastAsiaTheme="minorEastAsia"/>
        </w:rPr>
      </w:pPr>
    </w:p>
    <w:p w14:paraId="223ADE57" w14:textId="77777777" w:rsidR="00ED6FE0" w:rsidRPr="00C76574" w:rsidRDefault="00ED6FE0">
      <w:pPr>
        <w:ind w:firstLine="420"/>
        <w:rPr>
          <w:rFonts w:eastAsiaTheme="minorEastAsia"/>
        </w:rPr>
      </w:pPr>
    </w:p>
    <w:p w14:paraId="47706DB9" w14:textId="63E738F9" w:rsidR="00ED6FE0" w:rsidRPr="00C76574" w:rsidRDefault="00C73DED">
      <w:pPr>
        <w:pStyle w:val="afa"/>
        <w:rPr>
          <w:kern w:val="0"/>
        </w:rPr>
      </w:pPr>
      <w:r w:rsidRPr="00C76574">
        <w:t xml:space="preserve">Pusic KM </w:t>
      </w:r>
      <w:r w:rsidRPr="00C76574">
        <w:rPr>
          <w:i/>
          <w:iCs/>
        </w:rPr>
        <w:t>et al</w:t>
      </w:r>
      <w:r w:rsidRPr="00C76574">
        <w:t>. [</w:t>
      </w:r>
      <w:r w:rsidRPr="00C76574">
        <w:rPr>
          <w:rFonts w:eastAsia="宋体"/>
        </w:rPr>
        <w:t>23</w:t>
      </w:r>
      <w:r w:rsidRPr="00C76574">
        <w:t>] (2014)</w:t>
      </w:r>
    </w:p>
    <w:tbl>
      <w:tblPr>
        <w:tblStyle w:val="af2"/>
        <w:tblW w:w="5145" w:type="pct"/>
        <w:jc w:val="center"/>
        <w:tblLook w:val="04A0" w:firstRow="1" w:lastRow="0" w:firstColumn="1" w:lastColumn="0" w:noHBand="0" w:noVBand="1"/>
      </w:tblPr>
      <w:tblGrid>
        <w:gridCol w:w="2972"/>
        <w:gridCol w:w="1848"/>
        <w:gridCol w:w="10454"/>
      </w:tblGrid>
      <w:tr w:rsidR="00C76574" w:rsidRPr="00C76574" w14:paraId="5F2A3829" w14:textId="77777777">
        <w:trPr>
          <w:trHeight w:val="113"/>
          <w:jc w:val="center"/>
        </w:trPr>
        <w:tc>
          <w:tcPr>
            <w:tcW w:w="973" w:type="pct"/>
            <w:vAlign w:val="center"/>
          </w:tcPr>
          <w:p w14:paraId="66F295D6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bookmarkStart w:id="1" w:name="_Hlk205466750"/>
            <w:r w:rsidRPr="00C76574">
              <w:rPr>
                <w:rFonts w:ascii="Times New Roman" w:hAnsi="Times New Roman"/>
              </w:rPr>
              <w:t>Evaluation Item</w:t>
            </w:r>
          </w:p>
        </w:tc>
        <w:tc>
          <w:tcPr>
            <w:tcW w:w="605" w:type="pct"/>
            <w:vAlign w:val="center"/>
          </w:tcPr>
          <w:p w14:paraId="036B0FC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Risk Assessment</w:t>
            </w:r>
          </w:p>
        </w:tc>
        <w:tc>
          <w:tcPr>
            <w:tcW w:w="3422" w:type="pct"/>
            <w:vAlign w:val="center"/>
          </w:tcPr>
          <w:p w14:paraId="3D4A1C3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Supporting Evidence</w:t>
            </w:r>
          </w:p>
        </w:tc>
      </w:tr>
      <w:bookmarkEnd w:id="1"/>
      <w:tr w:rsidR="00C76574" w:rsidRPr="00C76574" w14:paraId="6D6B5940" w14:textId="77777777">
        <w:trPr>
          <w:trHeight w:val="113"/>
          <w:jc w:val="center"/>
        </w:trPr>
        <w:tc>
          <w:tcPr>
            <w:tcW w:w="973" w:type="pct"/>
            <w:vAlign w:val="center"/>
          </w:tcPr>
          <w:p w14:paraId="71B95B3A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Sequence generation</w:t>
            </w:r>
          </w:p>
        </w:tc>
        <w:tc>
          <w:tcPr>
            <w:tcW w:w="605" w:type="pct"/>
            <w:vAlign w:val="center"/>
          </w:tcPr>
          <w:p w14:paraId="6EEDB43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422" w:type="pct"/>
            <w:vAlign w:val="center"/>
          </w:tcPr>
          <w:p w14:paraId="3027441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Stated group allocation only, but method of random sequence generation not described: “Twelve male Wistar rats were group housed...whereas 12 aged-matched nonenriched (NE) rats...”</w:t>
            </w:r>
          </w:p>
        </w:tc>
      </w:tr>
      <w:tr w:rsidR="00C76574" w:rsidRPr="00C76574" w14:paraId="658F072D" w14:textId="77777777">
        <w:trPr>
          <w:trHeight w:val="113"/>
          <w:jc w:val="center"/>
        </w:trPr>
        <w:tc>
          <w:tcPr>
            <w:tcW w:w="973" w:type="pct"/>
            <w:vAlign w:val="center"/>
          </w:tcPr>
          <w:p w14:paraId="4A4BEFF9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Baseline characteristics</w:t>
            </w:r>
          </w:p>
        </w:tc>
        <w:tc>
          <w:tcPr>
            <w:tcW w:w="605" w:type="pct"/>
            <w:vAlign w:val="center"/>
          </w:tcPr>
          <w:p w14:paraId="5E4209E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</w:t>
            </w:r>
          </w:p>
        </w:tc>
        <w:tc>
          <w:tcPr>
            <w:tcW w:w="3422" w:type="pct"/>
            <w:vAlign w:val="center"/>
          </w:tcPr>
          <w:p w14:paraId="2682088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 baseline electrophysiological difference between EE and NE groups; SD induction after grouping (meets interventional study criteria)</w:t>
            </w:r>
          </w:p>
        </w:tc>
      </w:tr>
      <w:tr w:rsidR="00C76574" w:rsidRPr="00C76574" w14:paraId="6C2C9E9D" w14:textId="77777777">
        <w:trPr>
          <w:trHeight w:val="113"/>
          <w:jc w:val="center"/>
        </w:trPr>
        <w:tc>
          <w:tcPr>
            <w:tcW w:w="973" w:type="pct"/>
            <w:vAlign w:val="center"/>
          </w:tcPr>
          <w:p w14:paraId="3B133026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Allocation concealment</w:t>
            </w:r>
          </w:p>
        </w:tc>
        <w:tc>
          <w:tcPr>
            <w:tcW w:w="605" w:type="pct"/>
            <w:vAlign w:val="center"/>
          </w:tcPr>
          <w:p w14:paraId="6A2B03B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422" w:type="pct"/>
            <w:vAlign w:val="center"/>
          </w:tcPr>
          <w:p w14:paraId="0F3B2CA6" w14:textId="77777777" w:rsidR="00ED6FE0" w:rsidRPr="00C76574" w:rsidRDefault="00C73DED">
            <w:pPr>
              <w:tabs>
                <w:tab w:val="left" w:pos="1102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1BF5BC0B" w14:textId="77777777">
        <w:trPr>
          <w:trHeight w:val="113"/>
          <w:jc w:val="center"/>
        </w:trPr>
        <w:tc>
          <w:tcPr>
            <w:tcW w:w="973" w:type="pct"/>
            <w:vAlign w:val="center"/>
          </w:tcPr>
          <w:p w14:paraId="06CDE3BA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housing</w:t>
            </w:r>
          </w:p>
        </w:tc>
        <w:tc>
          <w:tcPr>
            <w:tcW w:w="605" w:type="pct"/>
            <w:vAlign w:val="center"/>
          </w:tcPr>
          <w:p w14:paraId="23A5FF4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</w:t>
            </w:r>
          </w:p>
        </w:tc>
        <w:tc>
          <w:tcPr>
            <w:tcW w:w="3422" w:type="pct"/>
            <w:vAlign w:val="center"/>
          </w:tcPr>
          <w:p w14:paraId="323E52A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Uniform baseline conditions: “Sufficient space was provided to prevent dominant male behavior”</w:t>
            </w:r>
            <w:r w:rsidRPr="00C76574">
              <w:rPr>
                <w:rFonts w:ascii="Times New Roman" w:eastAsia="宋体" w:hAnsi="Times New Roman"/>
              </w:rPr>
              <w:t xml:space="preserve">; </w:t>
            </w:r>
            <w:r w:rsidRPr="00C76574">
              <w:rPr>
                <w:rFonts w:ascii="Times New Roman" w:hAnsi="Times New Roman"/>
              </w:rPr>
              <w:t>“EE rats housed in Marlau-style cage...NE rats single-housed under standard conditions”</w:t>
            </w:r>
          </w:p>
        </w:tc>
      </w:tr>
      <w:tr w:rsidR="00C76574" w:rsidRPr="00C76574" w14:paraId="2FDED2F5" w14:textId="77777777">
        <w:trPr>
          <w:trHeight w:val="113"/>
          <w:jc w:val="center"/>
        </w:trPr>
        <w:tc>
          <w:tcPr>
            <w:tcW w:w="973" w:type="pct"/>
            <w:vAlign w:val="center"/>
          </w:tcPr>
          <w:p w14:paraId="3D3BB0A3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Performance bias</w:t>
            </w:r>
          </w:p>
        </w:tc>
        <w:tc>
          <w:tcPr>
            <w:tcW w:w="605" w:type="pct"/>
            <w:vAlign w:val="center"/>
          </w:tcPr>
          <w:p w14:paraId="35F4315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422" w:type="pct"/>
            <w:vAlign w:val="center"/>
          </w:tcPr>
          <w:p w14:paraId="74166F9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“Not mentioned”</w:t>
            </w:r>
          </w:p>
        </w:tc>
      </w:tr>
      <w:tr w:rsidR="00C76574" w:rsidRPr="00C76574" w14:paraId="4DC53E80" w14:textId="77777777">
        <w:trPr>
          <w:trHeight w:val="113"/>
          <w:jc w:val="center"/>
        </w:trPr>
        <w:tc>
          <w:tcPr>
            <w:tcW w:w="973" w:type="pct"/>
            <w:vAlign w:val="center"/>
          </w:tcPr>
          <w:p w14:paraId="124FC1F8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Blinding outcome assessment</w:t>
            </w:r>
          </w:p>
        </w:tc>
        <w:tc>
          <w:tcPr>
            <w:tcW w:w="605" w:type="pct"/>
            <w:vAlign w:val="center"/>
          </w:tcPr>
          <w:p w14:paraId="18D10D1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422" w:type="pct"/>
            <w:vAlign w:val="center"/>
          </w:tcPr>
          <w:p w14:paraId="26EF84C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“SD threshold was determined... using a Digidata 1322A analog-digital conversion board”</w:t>
            </w:r>
          </w:p>
        </w:tc>
      </w:tr>
      <w:tr w:rsidR="00C76574" w:rsidRPr="00C76574" w14:paraId="2AB186A8" w14:textId="77777777">
        <w:trPr>
          <w:trHeight w:val="113"/>
          <w:jc w:val="center"/>
        </w:trPr>
        <w:tc>
          <w:tcPr>
            <w:tcW w:w="973" w:type="pct"/>
            <w:vAlign w:val="center"/>
          </w:tcPr>
          <w:p w14:paraId="22FB9289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Detection bias</w:t>
            </w:r>
          </w:p>
        </w:tc>
        <w:tc>
          <w:tcPr>
            <w:tcW w:w="605" w:type="pct"/>
            <w:vAlign w:val="center"/>
          </w:tcPr>
          <w:p w14:paraId="28316A0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422" w:type="pct"/>
            <w:vAlign w:val="center"/>
          </w:tcPr>
          <w:p w14:paraId="0ABDB41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“Electrophysiological data was transferred from Axon Instruments software to OriginPro...”</w:t>
            </w:r>
          </w:p>
        </w:tc>
      </w:tr>
      <w:tr w:rsidR="00C76574" w:rsidRPr="00C76574" w14:paraId="5F7346FA" w14:textId="77777777">
        <w:trPr>
          <w:trHeight w:val="113"/>
          <w:jc w:val="center"/>
        </w:trPr>
        <w:tc>
          <w:tcPr>
            <w:tcW w:w="973" w:type="pct"/>
            <w:vAlign w:val="center"/>
          </w:tcPr>
          <w:p w14:paraId="7787A163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Incomplete outcome data</w:t>
            </w:r>
          </w:p>
        </w:tc>
        <w:tc>
          <w:tcPr>
            <w:tcW w:w="605" w:type="pct"/>
            <w:vAlign w:val="center"/>
          </w:tcPr>
          <w:p w14:paraId="2947424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422" w:type="pct"/>
            <w:vAlign w:val="center"/>
          </w:tcPr>
          <w:p w14:paraId="2DC7A78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Complete sample size reported for all experiments with no missing data: “all animals were included in the analysis”</w:t>
            </w:r>
          </w:p>
        </w:tc>
      </w:tr>
      <w:tr w:rsidR="00C76574" w:rsidRPr="00C76574" w14:paraId="0443BA82" w14:textId="77777777">
        <w:trPr>
          <w:trHeight w:val="113"/>
          <w:jc w:val="center"/>
        </w:trPr>
        <w:tc>
          <w:tcPr>
            <w:tcW w:w="973" w:type="pct"/>
            <w:vAlign w:val="center"/>
          </w:tcPr>
          <w:p w14:paraId="6476C999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Selective outcome reporting</w:t>
            </w:r>
          </w:p>
        </w:tc>
        <w:tc>
          <w:tcPr>
            <w:tcW w:w="605" w:type="pct"/>
            <w:vAlign w:val="center"/>
          </w:tcPr>
          <w:p w14:paraId="3C20D82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422" w:type="pct"/>
            <w:vAlign w:val="center"/>
          </w:tcPr>
          <w:p w14:paraId="5312689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predefined primary outcomes were fully reported: “SD threshold, protein carbonyl, Iba1 staining, qPCR data”</w:t>
            </w:r>
          </w:p>
        </w:tc>
      </w:tr>
      <w:tr w:rsidR="00ED6FE0" w:rsidRPr="00C76574" w14:paraId="70F4970A" w14:textId="77777777">
        <w:trPr>
          <w:trHeight w:val="113"/>
          <w:jc w:val="center"/>
        </w:trPr>
        <w:tc>
          <w:tcPr>
            <w:tcW w:w="973" w:type="pct"/>
            <w:vAlign w:val="center"/>
          </w:tcPr>
          <w:p w14:paraId="3556C98B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Other sources of bias</w:t>
            </w:r>
          </w:p>
        </w:tc>
        <w:tc>
          <w:tcPr>
            <w:tcW w:w="605" w:type="pct"/>
            <w:vAlign w:val="center"/>
          </w:tcPr>
          <w:p w14:paraId="5D7EBBC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422" w:type="pct"/>
            <w:vAlign w:val="center"/>
          </w:tcPr>
          <w:p w14:paraId="61F78D4C" w14:textId="77777777" w:rsidR="00ED6FE0" w:rsidRPr="00C76574" w:rsidRDefault="00C73DED">
            <w:pPr>
              <w:tabs>
                <w:tab w:val="left" w:pos="907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shows no evidence of contamination, funder influence, or unit-of-analysis errors.</w:t>
            </w:r>
          </w:p>
        </w:tc>
      </w:tr>
    </w:tbl>
    <w:p w14:paraId="72535331" w14:textId="77777777" w:rsidR="00ED6FE0" w:rsidRPr="00C76574" w:rsidRDefault="00ED6FE0">
      <w:pPr>
        <w:ind w:firstLine="420"/>
        <w:rPr>
          <w:rFonts w:eastAsiaTheme="minorEastAsia"/>
        </w:rPr>
      </w:pPr>
    </w:p>
    <w:p w14:paraId="01AB62AF" w14:textId="77777777" w:rsidR="00ED6FE0" w:rsidRPr="00C76574" w:rsidRDefault="00ED6FE0">
      <w:pPr>
        <w:ind w:firstLine="420"/>
        <w:rPr>
          <w:rFonts w:eastAsiaTheme="minorEastAsia"/>
        </w:rPr>
      </w:pPr>
    </w:p>
    <w:p w14:paraId="26F58BFF" w14:textId="320840EF" w:rsidR="00ED6FE0" w:rsidRPr="00C76574" w:rsidRDefault="00C73DED">
      <w:pPr>
        <w:pStyle w:val="afa"/>
        <w:rPr>
          <w:rFonts w:eastAsiaTheme="minorEastAsia"/>
        </w:rPr>
      </w:pPr>
      <w:r w:rsidRPr="00C76574">
        <w:t>A</w:t>
      </w:r>
      <w:r w:rsidRPr="00C76574">
        <w:rPr>
          <w:rFonts w:eastAsiaTheme="minorEastAsia"/>
        </w:rPr>
        <w:t xml:space="preserve">raújo ADO </w:t>
      </w:r>
      <w:r w:rsidRPr="00C76574">
        <w:rPr>
          <w:rFonts w:eastAsiaTheme="minorEastAsia"/>
          <w:i/>
          <w:iCs/>
        </w:rPr>
        <w:t>et al</w:t>
      </w:r>
      <w:r w:rsidRPr="00C76574">
        <w:rPr>
          <w:rFonts w:eastAsiaTheme="minorEastAsia"/>
        </w:rPr>
        <w:t xml:space="preserve">. </w:t>
      </w:r>
      <w:r w:rsidRPr="00C76574">
        <w:t>[</w:t>
      </w:r>
      <w:r w:rsidRPr="00C76574">
        <w:rPr>
          <w:rFonts w:eastAsia="宋体"/>
        </w:rPr>
        <w:t>18</w:t>
      </w:r>
      <w:r w:rsidRPr="00C76574">
        <w:t>]</w:t>
      </w:r>
      <w:r w:rsidRPr="00C76574">
        <w:rPr>
          <w:rFonts w:eastAsiaTheme="minorEastAsia"/>
        </w:rPr>
        <w:t xml:space="preserve"> (2023)</w:t>
      </w: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2114"/>
        <w:gridCol w:w="9720"/>
      </w:tblGrid>
      <w:tr w:rsidR="00C76574" w:rsidRPr="00C76574" w14:paraId="748EF61C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232A92DF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bookmarkStart w:id="2" w:name="_Hlk201935291"/>
            <w:r w:rsidRPr="00C76574">
              <w:rPr>
                <w:rFonts w:ascii="Times New Roman" w:hAnsi="Times New Roman"/>
              </w:rPr>
              <w:t>Evaluation Item</w:t>
            </w:r>
          </w:p>
        </w:tc>
        <w:tc>
          <w:tcPr>
            <w:tcW w:w="712" w:type="pct"/>
            <w:vAlign w:val="center"/>
          </w:tcPr>
          <w:p w14:paraId="33512C8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Risk Assessment</w:t>
            </w:r>
          </w:p>
        </w:tc>
        <w:tc>
          <w:tcPr>
            <w:tcW w:w="3274" w:type="pct"/>
            <w:vAlign w:val="center"/>
          </w:tcPr>
          <w:p w14:paraId="4C264E1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Supporting Evidence</w:t>
            </w:r>
          </w:p>
        </w:tc>
      </w:tr>
      <w:tr w:rsidR="00C76574" w:rsidRPr="00C76574" w14:paraId="1783E894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2B8498FE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lastRenderedPageBreak/>
              <w:t>Sequence generation</w:t>
            </w:r>
          </w:p>
        </w:tc>
        <w:tc>
          <w:tcPr>
            <w:tcW w:w="712" w:type="pct"/>
            <w:vAlign w:val="center"/>
          </w:tcPr>
          <w:p w14:paraId="18EE15D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00C8196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“Each group was formed with pups from 3 to 5 distinct litters.”</w:t>
            </w:r>
          </w:p>
        </w:tc>
      </w:tr>
      <w:tr w:rsidR="00C76574" w:rsidRPr="00C76574" w14:paraId="31CBC1E6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3A7E2CEA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Baseline characteristics</w:t>
            </w:r>
          </w:p>
        </w:tc>
        <w:tc>
          <w:tcPr>
            <w:tcW w:w="712" w:type="pct"/>
            <w:vAlign w:val="center"/>
          </w:tcPr>
          <w:p w14:paraId="158DE65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7FCB356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Fig. 2A shows no difference in body weight between groups: “ANOVA showed no significant intergroup difference in body weight at 7 days of age ...”</w:t>
            </w:r>
          </w:p>
        </w:tc>
      </w:tr>
      <w:tr w:rsidR="00C76574" w:rsidRPr="00C76574" w14:paraId="74747416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70DA718A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Allocation concealment</w:t>
            </w:r>
          </w:p>
        </w:tc>
        <w:tc>
          <w:tcPr>
            <w:tcW w:w="712" w:type="pct"/>
            <w:vAlign w:val="center"/>
          </w:tcPr>
          <w:p w14:paraId="0742A4E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22BE2A96" w14:textId="77777777" w:rsidR="00ED6FE0" w:rsidRPr="00C76574" w:rsidRDefault="00C73DED">
            <w:pPr>
              <w:tabs>
                <w:tab w:val="left" w:pos="1102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22452F5B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329667A7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housing</w:t>
            </w:r>
          </w:p>
        </w:tc>
        <w:tc>
          <w:tcPr>
            <w:tcW w:w="712" w:type="pct"/>
            <w:vAlign w:val="center"/>
          </w:tcPr>
          <w:p w14:paraId="4F134EA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32BD467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 xml:space="preserve">All animals were housed under identical conditions with random assignment: “After weaning, pups were separated by sex and housed in polypropylene cages under controlled temperature (23 </w:t>
            </w:r>
            <w:r w:rsidRPr="00C76574">
              <w:rPr>
                <w:rFonts w:ascii="Times New Roman" w:eastAsiaTheme="minorEastAsia" w:hAnsi="Times New Roman"/>
              </w:rPr>
              <w:t xml:space="preserve">℃ </w:t>
            </w:r>
            <w:r w:rsidRPr="00C76574">
              <w:rPr>
                <w:rFonts w:ascii="Times New Roman" w:hAnsi="Times New Roman"/>
              </w:rPr>
              <w:t xml:space="preserve">± 1 </w:t>
            </w:r>
            <w:r w:rsidRPr="00C76574">
              <w:rPr>
                <w:rFonts w:ascii="Times New Roman" w:eastAsiaTheme="minorEastAsia" w:hAnsi="Times New Roman"/>
              </w:rPr>
              <w:t>℃</w:t>
            </w:r>
            <w:r w:rsidRPr="00C76574">
              <w:rPr>
                <w:rFonts w:ascii="Times New Roman" w:hAnsi="Times New Roman"/>
              </w:rPr>
              <w:t>) with a 12–12 h light–dark cycle”</w:t>
            </w:r>
          </w:p>
        </w:tc>
      </w:tr>
      <w:tr w:rsidR="00C76574" w:rsidRPr="00C76574" w14:paraId="16008E6E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53366DA8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Performance bias</w:t>
            </w:r>
          </w:p>
        </w:tc>
        <w:tc>
          <w:tcPr>
            <w:tcW w:w="712" w:type="pct"/>
            <w:vAlign w:val="center"/>
          </w:tcPr>
          <w:p w14:paraId="6A19975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72CF4E6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Behavioral tests were performed at random times: “The animals were randomly tested between 8 AM and 1 PM”</w:t>
            </w:r>
          </w:p>
        </w:tc>
      </w:tr>
      <w:tr w:rsidR="00C76574" w:rsidRPr="00C76574" w14:paraId="512293B1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2E64DBEB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Blinding outcome assessment</w:t>
            </w:r>
          </w:p>
        </w:tc>
        <w:tc>
          <w:tcPr>
            <w:tcW w:w="712" w:type="pct"/>
            <w:vAlign w:val="center"/>
          </w:tcPr>
          <w:p w14:paraId="6E55848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61CB590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“analyzed with ANYmaze™ software</w:t>
            </w:r>
            <w:r w:rsidRPr="00C76574">
              <w:rPr>
                <w:rFonts w:ascii="Times New Roman" w:eastAsia="宋体" w:hAnsi="Times New Roman"/>
              </w:rPr>
              <w:t xml:space="preserve">; </w:t>
            </w:r>
            <w:r w:rsidRPr="00C76574">
              <w:rPr>
                <w:rFonts w:ascii="Times New Roman" w:hAnsi="Times New Roman"/>
              </w:rPr>
              <w:t>CSD propagation velocity was calculated”</w:t>
            </w:r>
          </w:p>
        </w:tc>
      </w:tr>
      <w:tr w:rsidR="00C76574" w:rsidRPr="00C76574" w14:paraId="66216BE4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3688D1B5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Detection bias</w:t>
            </w:r>
          </w:p>
        </w:tc>
        <w:tc>
          <w:tcPr>
            <w:tcW w:w="712" w:type="pct"/>
            <w:vAlign w:val="center"/>
          </w:tcPr>
          <w:p w14:paraId="39E1CF8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26E2CEB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363EDD84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2B34FE1E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Incomplete outcome data</w:t>
            </w:r>
          </w:p>
        </w:tc>
        <w:tc>
          <w:tcPr>
            <w:tcW w:w="712" w:type="pct"/>
            <w:vAlign w:val="center"/>
          </w:tcPr>
          <w:p w14:paraId="2B059B2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111D908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Complete sample size reported for all experiments with no missing data: “The n is 10 for each group, as stated in the methods...”</w:t>
            </w:r>
          </w:p>
        </w:tc>
      </w:tr>
      <w:tr w:rsidR="00C76574" w:rsidRPr="00C76574" w14:paraId="70A61149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24C4F390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Selective outcome reporting</w:t>
            </w:r>
          </w:p>
        </w:tc>
        <w:tc>
          <w:tcPr>
            <w:tcW w:w="712" w:type="pct"/>
            <w:vAlign w:val="center"/>
          </w:tcPr>
          <w:p w14:paraId="32C0904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206C2A7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predefined primary outcomes were fully reported: “Behavior (anxiety/memory), CSD, MDA/SOD levels align with Introduction and Results (</w:t>
            </w:r>
            <w:r w:rsidRPr="00C76574">
              <w:rPr>
                <w:rFonts w:ascii="Times New Roman" w:hAnsi="Times New Roman"/>
                <w:i/>
                <w:iCs/>
              </w:rPr>
              <w:t>e.g.</w:t>
            </w:r>
            <w:r w:rsidRPr="00C76574">
              <w:rPr>
                <w:rFonts w:ascii="Times New Roman" w:hAnsi="Times New Roman"/>
              </w:rPr>
              <w:t>, we hypothesize that MLT differentially affects... CSD parameters”)”</w:t>
            </w:r>
          </w:p>
        </w:tc>
      </w:tr>
      <w:tr w:rsidR="00ED6FE0" w:rsidRPr="00C76574" w14:paraId="59361D0F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2DF2199A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Other sources of bias</w:t>
            </w:r>
          </w:p>
        </w:tc>
        <w:tc>
          <w:tcPr>
            <w:tcW w:w="712" w:type="pct"/>
            <w:vAlign w:val="center"/>
          </w:tcPr>
          <w:p w14:paraId="3BCCFAF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41C5B824" w14:textId="77777777" w:rsidR="00ED6FE0" w:rsidRPr="00C76574" w:rsidRDefault="00C73DED">
            <w:pPr>
              <w:tabs>
                <w:tab w:val="left" w:pos="907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shows no evidence of contamination, funder influence, or unit-of-analysis errors.</w:t>
            </w:r>
          </w:p>
        </w:tc>
      </w:tr>
      <w:bookmarkEnd w:id="2"/>
    </w:tbl>
    <w:p w14:paraId="0C05BC71" w14:textId="77777777" w:rsidR="00ED6FE0" w:rsidRPr="00C76574" w:rsidRDefault="00ED6FE0">
      <w:pPr>
        <w:ind w:firstLine="420"/>
        <w:rPr>
          <w:rStyle w:val="15"/>
          <w:b w:val="0"/>
          <w:kern w:val="0"/>
        </w:rPr>
      </w:pPr>
    </w:p>
    <w:p w14:paraId="531AF56B" w14:textId="77777777" w:rsidR="00ED6FE0" w:rsidRPr="00C76574" w:rsidRDefault="00ED6FE0">
      <w:pPr>
        <w:ind w:firstLine="422"/>
        <w:rPr>
          <w:rStyle w:val="15"/>
        </w:rPr>
      </w:pPr>
    </w:p>
    <w:p w14:paraId="4C45F6D1" w14:textId="01AFECD7" w:rsidR="00ED6FE0" w:rsidRPr="00C76574" w:rsidRDefault="00C73DED">
      <w:pPr>
        <w:pStyle w:val="afa"/>
      </w:pPr>
      <w:r w:rsidRPr="00C76574">
        <w:t xml:space="preserve">Jiang L </w:t>
      </w:r>
      <w:r w:rsidRPr="00C76574">
        <w:rPr>
          <w:rFonts w:eastAsiaTheme="minorEastAsia"/>
          <w:i/>
          <w:iCs/>
        </w:rPr>
        <w:t>et al</w:t>
      </w:r>
      <w:r w:rsidRPr="00C76574">
        <w:rPr>
          <w:rFonts w:eastAsiaTheme="minorEastAsia"/>
        </w:rPr>
        <w:t xml:space="preserve">. </w:t>
      </w:r>
      <w:r w:rsidRPr="00C76574">
        <w:t>[</w:t>
      </w:r>
      <w:r w:rsidRPr="00C76574">
        <w:rPr>
          <w:rFonts w:eastAsia="宋体"/>
        </w:rPr>
        <w:t>15</w:t>
      </w:r>
      <w:r w:rsidRPr="00C76574">
        <w:t>] (2019)</w:t>
      </w: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2114"/>
        <w:gridCol w:w="9720"/>
      </w:tblGrid>
      <w:tr w:rsidR="00C76574" w:rsidRPr="00C76574" w14:paraId="66DA11C9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1CBF2EE5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Evaluation Item</w:t>
            </w:r>
          </w:p>
        </w:tc>
        <w:tc>
          <w:tcPr>
            <w:tcW w:w="712" w:type="pct"/>
            <w:vAlign w:val="center"/>
          </w:tcPr>
          <w:p w14:paraId="6D76C1D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Risk Assessment</w:t>
            </w:r>
          </w:p>
        </w:tc>
        <w:tc>
          <w:tcPr>
            <w:tcW w:w="3274" w:type="pct"/>
            <w:vAlign w:val="center"/>
          </w:tcPr>
          <w:p w14:paraId="7FF7F76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Supporting Evidence</w:t>
            </w:r>
          </w:p>
        </w:tc>
      </w:tr>
      <w:tr w:rsidR="00C76574" w:rsidRPr="00C76574" w14:paraId="4B4340B7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56E94C39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Sequence generation</w:t>
            </w:r>
          </w:p>
        </w:tc>
        <w:tc>
          <w:tcPr>
            <w:tcW w:w="712" w:type="pct"/>
            <w:vAlign w:val="center"/>
          </w:tcPr>
          <w:p w14:paraId="4F1DF86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4BCE7AA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“Three groups were designed; two series of experiments were designed.”</w:t>
            </w:r>
          </w:p>
        </w:tc>
      </w:tr>
      <w:tr w:rsidR="00C76574" w:rsidRPr="00C76574" w14:paraId="371EC4E6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6E16783B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Baseline characteristics</w:t>
            </w:r>
          </w:p>
        </w:tc>
        <w:tc>
          <w:tcPr>
            <w:tcW w:w="712" w:type="pct"/>
            <w:vAlign w:val="center"/>
          </w:tcPr>
          <w:p w14:paraId="6F0F61C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3C26C9F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Although the animal species, sex, and weight range were specified (“male Sprague Dawley rats, 253.8 ± 40.9 g”), between-group homogeneity of baseline characteristics (</w:t>
            </w:r>
            <w:r w:rsidRPr="00C76574">
              <w:rPr>
                <w:rFonts w:ascii="Times New Roman" w:hAnsi="Times New Roman"/>
                <w:i/>
                <w:iCs/>
              </w:rPr>
              <w:t>e.g.</w:t>
            </w:r>
            <w:r w:rsidRPr="00C76574">
              <w:rPr>
                <w:rFonts w:ascii="Times New Roman" w:hAnsi="Times New Roman"/>
              </w:rPr>
              <w:t>, weight distribution, age) was not verified: “A total of 30 male Sprague Dawley rats (253.8 ± 40.9 g)...”</w:t>
            </w:r>
          </w:p>
        </w:tc>
      </w:tr>
      <w:tr w:rsidR="00C76574" w:rsidRPr="00C76574" w14:paraId="1826DFC6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32747FED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Allocation concealment</w:t>
            </w:r>
          </w:p>
        </w:tc>
        <w:tc>
          <w:tcPr>
            <w:tcW w:w="712" w:type="pct"/>
            <w:vAlign w:val="center"/>
          </w:tcPr>
          <w:p w14:paraId="3A5C6EC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0713A829" w14:textId="77777777" w:rsidR="00ED6FE0" w:rsidRPr="00C76574" w:rsidRDefault="00C73DED">
            <w:pPr>
              <w:tabs>
                <w:tab w:val="left" w:pos="1102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mentioned.</w:t>
            </w:r>
          </w:p>
        </w:tc>
      </w:tr>
      <w:tr w:rsidR="00C76574" w:rsidRPr="00C76574" w14:paraId="6AB0FA4D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26636F38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housing</w:t>
            </w:r>
          </w:p>
        </w:tc>
        <w:tc>
          <w:tcPr>
            <w:tcW w:w="712" w:type="pct"/>
            <w:vAlign w:val="center"/>
          </w:tcPr>
          <w:p w14:paraId="4FAE8B5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762453D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animals were housed in the same environment, meeting the requirement for randomized housing: “Animals were housed in the experimental animal Centre of Soochow University...”</w:t>
            </w:r>
          </w:p>
        </w:tc>
      </w:tr>
      <w:tr w:rsidR="00C76574" w:rsidRPr="00C76574" w14:paraId="2E3A29FE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227F59C8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Performance bias</w:t>
            </w:r>
          </w:p>
        </w:tc>
        <w:tc>
          <w:tcPr>
            <w:tcW w:w="712" w:type="pct"/>
            <w:vAlign w:val="center"/>
          </w:tcPr>
          <w:p w14:paraId="0AA4002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50A6E8B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“Drugs were perfused into contralateral ventricle...”</w:t>
            </w:r>
          </w:p>
        </w:tc>
      </w:tr>
      <w:tr w:rsidR="00C76574" w:rsidRPr="00C76574" w14:paraId="655F028E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0869BEA2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Blinding outcome assessment</w:t>
            </w:r>
          </w:p>
        </w:tc>
        <w:tc>
          <w:tcPr>
            <w:tcW w:w="712" w:type="pct"/>
            <w:vAlign w:val="center"/>
          </w:tcPr>
          <w:p w14:paraId="5BC2F9A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61F093B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“Ipsilateral cerebral cortices... were homogenized”</w:t>
            </w:r>
          </w:p>
        </w:tc>
      </w:tr>
      <w:tr w:rsidR="00C76574" w:rsidRPr="00C76574" w14:paraId="638F82B3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08F1FB33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lastRenderedPageBreak/>
              <w:t>Detection bias</w:t>
            </w:r>
          </w:p>
        </w:tc>
        <w:tc>
          <w:tcPr>
            <w:tcW w:w="712" w:type="pct"/>
            <w:vAlign w:val="center"/>
          </w:tcPr>
          <w:p w14:paraId="463E7F6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66ABB01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“monitored using electrophysiology... intrinsic optical imaging”</w:t>
            </w:r>
          </w:p>
        </w:tc>
      </w:tr>
      <w:tr w:rsidR="00C76574" w:rsidRPr="00C76574" w14:paraId="750E361F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13960225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Incomplete outcome data</w:t>
            </w:r>
          </w:p>
        </w:tc>
        <w:tc>
          <w:tcPr>
            <w:tcW w:w="712" w:type="pct"/>
            <w:vAlign w:val="center"/>
          </w:tcPr>
          <w:p w14:paraId="7CDCF53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43B94761" w14:textId="453804F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Complete sample size reported for all experiments with no missing data</w:t>
            </w:r>
            <w:r w:rsidR="00C76574" w:rsidRPr="00C76574">
              <w:rPr>
                <w:rFonts w:ascii="Times New Roman" w:hAnsi="Times New Roman"/>
              </w:rPr>
              <w:t>.</w:t>
            </w:r>
          </w:p>
        </w:tc>
      </w:tr>
      <w:tr w:rsidR="00C76574" w:rsidRPr="00C76574" w14:paraId="3A0DB140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3D3F445D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Selective outcome reporting</w:t>
            </w:r>
          </w:p>
        </w:tc>
        <w:tc>
          <w:tcPr>
            <w:tcW w:w="712" w:type="pct"/>
            <w:vAlign w:val="center"/>
          </w:tcPr>
          <w:p w14:paraId="3F2E7C6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756836D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predefined primary outcomes were fully reported: “CSD number/latency/magnitude/MDA”</w:t>
            </w:r>
          </w:p>
        </w:tc>
      </w:tr>
      <w:tr w:rsidR="00ED6FE0" w:rsidRPr="00C76574" w14:paraId="338F9A9A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3A55AC8E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Other sources of bias</w:t>
            </w:r>
          </w:p>
        </w:tc>
        <w:tc>
          <w:tcPr>
            <w:tcW w:w="712" w:type="pct"/>
            <w:vAlign w:val="center"/>
          </w:tcPr>
          <w:p w14:paraId="03C9A84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6A49FD84" w14:textId="77777777" w:rsidR="00ED6FE0" w:rsidRPr="00C76574" w:rsidRDefault="00C73DED">
            <w:pPr>
              <w:tabs>
                <w:tab w:val="left" w:pos="907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shows no evidence of contamination, funder influence, or unit-of-analysis errors.</w:t>
            </w:r>
          </w:p>
        </w:tc>
      </w:tr>
    </w:tbl>
    <w:p w14:paraId="272AE422" w14:textId="77777777" w:rsidR="00ED6FE0" w:rsidRPr="00C76574" w:rsidRDefault="00ED6FE0">
      <w:pPr>
        <w:ind w:firstLine="420"/>
      </w:pPr>
    </w:p>
    <w:p w14:paraId="337EAC31" w14:textId="77777777" w:rsidR="00ED6FE0" w:rsidRPr="00C76574" w:rsidRDefault="00ED6FE0">
      <w:pPr>
        <w:ind w:firstLine="420"/>
      </w:pPr>
    </w:p>
    <w:p w14:paraId="1DA0A45A" w14:textId="6E034D2E" w:rsidR="00ED6FE0" w:rsidRPr="00C76574" w:rsidRDefault="00C73DED">
      <w:pPr>
        <w:pStyle w:val="afa"/>
      </w:pPr>
      <w:r w:rsidRPr="00C76574">
        <w:t xml:space="preserve">Pusic AD </w:t>
      </w:r>
      <w:r w:rsidRPr="00C76574">
        <w:rPr>
          <w:rFonts w:eastAsiaTheme="minorEastAsia"/>
          <w:i/>
          <w:iCs/>
        </w:rPr>
        <w:t>et al</w:t>
      </w:r>
      <w:r w:rsidRPr="00C76574">
        <w:rPr>
          <w:rFonts w:eastAsiaTheme="minorEastAsia"/>
        </w:rPr>
        <w:t xml:space="preserve">. </w:t>
      </w:r>
      <w:r w:rsidRPr="00C76574">
        <w:t>[</w:t>
      </w:r>
      <w:r w:rsidRPr="00C76574">
        <w:rPr>
          <w:rFonts w:eastAsia="宋体"/>
        </w:rPr>
        <w:t>24</w:t>
      </w:r>
      <w:r w:rsidRPr="00C76574">
        <w:t>] (2015a)</w:t>
      </w: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2114"/>
        <w:gridCol w:w="9720"/>
      </w:tblGrid>
      <w:tr w:rsidR="00C76574" w:rsidRPr="00C76574" w14:paraId="6290BD6F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106FAC33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Evaluation Item</w:t>
            </w:r>
          </w:p>
        </w:tc>
        <w:tc>
          <w:tcPr>
            <w:tcW w:w="712" w:type="pct"/>
            <w:vAlign w:val="center"/>
          </w:tcPr>
          <w:p w14:paraId="272DE6A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Risk Assessment</w:t>
            </w:r>
          </w:p>
        </w:tc>
        <w:tc>
          <w:tcPr>
            <w:tcW w:w="3274" w:type="pct"/>
            <w:vAlign w:val="center"/>
          </w:tcPr>
          <w:p w14:paraId="26F6BBD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Supporting Evidence</w:t>
            </w:r>
          </w:p>
        </w:tc>
      </w:tr>
      <w:tr w:rsidR="00C76574" w:rsidRPr="00C76574" w14:paraId="634172CD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65C02A1B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Sequence generation</w:t>
            </w:r>
          </w:p>
        </w:tc>
        <w:tc>
          <w:tcPr>
            <w:tcW w:w="712" w:type="pct"/>
            <w:vAlign w:val="center"/>
          </w:tcPr>
          <w:p w14:paraId="181C456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0F9F09A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“Wistar rats were obtained from Charles River</w:t>
            </w:r>
            <w:r w:rsidRPr="00C76574">
              <w:rPr>
                <w:rFonts w:ascii="Times New Roman" w:eastAsia="宋体" w:hAnsi="Times New Roman"/>
              </w:rPr>
              <w:t xml:space="preserve">; </w:t>
            </w:r>
            <w:r w:rsidRPr="00C76574">
              <w:rPr>
                <w:rFonts w:ascii="Times New Roman" w:hAnsi="Times New Roman"/>
              </w:rPr>
              <w:t>We prepared 350 μm hippocampal slice cultures from Wistar rat pups...”</w:t>
            </w:r>
          </w:p>
        </w:tc>
      </w:tr>
      <w:tr w:rsidR="00C76574" w:rsidRPr="00C76574" w14:paraId="2735C4C7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60DE1257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Baseline characteristics</w:t>
            </w:r>
          </w:p>
        </w:tc>
        <w:tc>
          <w:tcPr>
            <w:tcW w:w="712" w:type="pct"/>
            <w:vAlign w:val="center"/>
          </w:tcPr>
          <w:p w14:paraId="427274B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3BF4538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Sex, weight range, and housing reported; specific physiological parameters (</w:t>
            </w:r>
            <w:r w:rsidRPr="00C76574">
              <w:rPr>
                <w:rFonts w:ascii="Times New Roman" w:hAnsi="Times New Roman"/>
                <w:i/>
                <w:iCs/>
              </w:rPr>
              <w:t>e.g.</w:t>
            </w:r>
            <w:r w:rsidRPr="00C76574">
              <w:rPr>
                <w:rFonts w:ascii="Times New Roman" w:hAnsi="Times New Roman"/>
              </w:rPr>
              <w:t>, detailed weight/age) not provided: “Control slice cultures</w:t>
            </w:r>
            <w:r w:rsidRPr="00C76574">
              <w:rPr>
                <w:rFonts w:ascii="Times New Roman" w:eastAsia="宋体" w:hAnsi="Times New Roman"/>
              </w:rPr>
              <w:t xml:space="preserve">; </w:t>
            </w:r>
            <w:r w:rsidRPr="00C76574">
              <w:rPr>
                <w:rFonts w:ascii="Times New Roman" w:hAnsi="Times New Roman"/>
              </w:rPr>
              <w:t>age-matched controls; Slices with CA3 field post-synaptic responses ≥3 mV were used”</w:t>
            </w:r>
          </w:p>
        </w:tc>
      </w:tr>
      <w:tr w:rsidR="00C76574" w:rsidRPr="00C76574" w14:paraId="7903275C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54CAD27E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Allocation concealment</w:t>
            </w:r>
          </w:p>
        </w:tc>
        <w:tc>
          <w:tcPr>
            <w:tcW w:w="712" w:type="pct"/>
            <w:vAlign w:val="center"/>
          </w:tcPr>
          <w:p w14:paraId="03FA219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2DE65978" w14:textId="77777777" w:rsidR="00ED6FE0" w:rsidRPr="00C76574" w:rsidRDefault="00C73DED">
            <w:pPr>
              <w:tabs>
                <w:tab w:val="left" w:pos="1102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7DE08814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0909DB4D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housing</w:t>
            </w:r>
          </w:p>
        </w:tc>
        <w:tc>
          <w:tcPr>
            <w:tcW w:w="712" w:type="pct"/>
            <w:vAlign w:val="center"/>
          </w:tcPr>
          <w:p w14:paraId="5A2EDB9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52AACF5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“All slices/animals maintained under identical conditions: maintained in serum-free medium, incubated under normal conditions.”</w:t>
            </w:r>
          </w:p>
        </w:tc>
      </w:tr>
      <w:tr w:rsidR="00C76574" w:rsidRPr="00C76574" w14:paraId="572DE275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29D15ACF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Performance bias</w:t>
            </w:r>
          </w:p>
        </w:tc>
        <w:tc>
          <w:tcPr>
            <w:tcW w:w="712" w:type="pct"/>
            <w:vAlign w:val="center"/>
          </w:tcPr>
          <w:p w14:paraId="5F956E4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02B43A5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024D06FE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165582B8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Blinding outcome assessment</w:t>
            </w:r>
          </w:p>
        </w:tc>
        <w:tc>
          <w:tcPr>
            <w:tcW w:w="712" w:type="pct"/>
            <w:vAlign w:val="center"/>
          </w:tcPr>
          <w:p w14:paraId="698479A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1A3BC6F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“Images were acquired</w:t>
            </w:r>
            <w:r w:rsidRPr="00C76574">
              <w:rPr>
                <w:rFonts w:ascii="Times New Roman" w:eastAsia="宋体" w:hAnsi="Times New Roman"/>
              </w:rPr>
              <w:t xml:space="preserve">; </w:t>
            </w:r>
            <w:r w:rsidRPr="00C76574">
              <w:rPr>
                <w:rFonts w:ascii="Times New Roman" w:hAnsi="Times New Roman"/>
              </w:rPr>
              <w:t>Quantification of fluorescence intensity”</w:t>
            </w:r>
          </w:p>
        </w:tc>
      </w:tr>
      <w:tr w:rsidR="00C76574" w:rsidRPr="00C76574" w14:paraId="5DDBDACD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6011EB27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Detection bias</w:t>
            </w:r>
          </w:p>
        </w:tc>
        <w:tc>
          <w:tcPr>
            <w:tcW w:w="712" w:type="pct"/>
            <w:vAlign w:val="center"/>
          </w:tcPr>
          <w:p w14:paraId="2A772FC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3971CD4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“Western blot analyses</w:t>
            </w:r>
            <w:r w:rsidRPr="00C76574">
              <w:rPr>
                <w:rFonts w:ascii="Times New Roman" w:eastAsia="宋体" w:hAnsi="Times New Roman"/>
              </w:rPr>
              <w:t xml:space="preserve">; </w:t>
            </w:r>
            <w:r w:rsidRPr="00C76574">
              <w:rPr>
                <w:rFonts w:ascii="Times New Roman" w:hAnsi="Times New Roman"/>
              </w:rPr>
              <w:t>densitometric quantification”</w:t>
            </w:r>
          </w:p>
        </w:tc>
      </w:tr>
      <w:tr w:rsidR="00C76574" w:rsidRPr="00C76574" w14:paraId="6A420D33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5665E069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Incomplete outcome data</w:t>
            </w:r>
          </w:p>
        </w:tc>
        <w:tc>
          <w:tcPr>
            <w:tcW w:w="712" w:type="pct"/>
            <w:vAlign w:val="center"/>
          </w:tcPr>
          <w:p w14:paraId="1D5EF23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5E7FDCA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Complete sample size reported for all experiments with no missing data: “all samples included: *” “n = 3 slices/group”, “n = 4 animals/group”</w:t>
            </w:r>
          </w:p>
        </w:tc>
      </w:tr>
      <w:tr w:rsidR="00C76574" w:rsidRPr="00C76574" w14:paraId="43D45D23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03013F63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Selective outcome reporting</w:t>
            </w:r>
          </w:p>
        </w:tc>
        <w:tc>
          <w:tcPr>
            <w:tcW w:w="712" w:type="pct"/>
            <w:vAlign w:val="center"/>
          </w:tcPr>
          <w:p w14:paraId="61E974F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5439ADF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predefined primary outcomes were fully reported: “</w:t>
            </w:r>
            <w:r w:rsidRPr="00C76574">
              <w:rPr>
                <w:rFonts w:ascii="Times New Roman" w:hAnsi="Times New Roman"/>
                <w:i/>
                <w:iCs/>
              </w:rPr>
              <w:t>e.g.</w:t>
            </w:r>
            <w:r w:rsidRPr="00C76574">
              <w:rPr>
                <w:rFonts w:ascii="Times New Roman" w:hAnsi="Times New Roman"/>
              </w:rPr>
              <w:t>, EM, PCR, immunohistochemistry”</w:t>
            </w:r>
          </w:p>
        </w:tc>
      </w:tr>
      <w:tr w:rsidR="00ED6FE0" w:rsidRPr="00C76574" w14:paraId="088F472D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505D138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Other sources of bias</w:t>
            </w:r>
          </w:p>
        </w:tc>
        <w:tc>
          <w:tcPr>
            <w:tcW w:w="712" w:type="pct"/>
            <w:vAlign w:val="center"/>
          </w:tcPr>
          <w:p w14:paraId="0B38327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High risk</w:t>
            </w:r>
          </w:p>
        </w:tc>
        <w:tc>
          <w:tcPr>
            <w:tcW w:w="3274" w:type="pct"/>
            <w:vAlign w:val="center"/>
          </w:tcPr>
          <w:p w14:paraId="05F44F35" w14:textId="77777777" w:rsidR="00ED6FE0" w:rsidRPr="00C76574" w:rsidRDefault="00C73DED">
            <w:pPr>
              <w:tabs>
                <w:tab w:val="left" w:pos="907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The authors (A.D.P., H.H.M., R.P.K.) report a patent pending enti-tled</w:t>
            </w:r>
          </w:p>
        </w:tc>
      </w:tr>
    </w:tbl>
    <w:p w14:paraId="7BAA2F2F" w14:textId="77777777" w:rsidR="00ED6FE0" w:rsidRPr="00C76574" w:rsidRDefault="00ED6FE0">
      <w:pPr>
        <w:ind w:firstLine="420"/>
      </w:pPr>
    </w:p>
    <w:p w14:paraId="4AE113DC" w14:textId="77777777" w:rsidR="00ED6FE0" w:rsidRPr="00C76574" w:rsidRDefault="00ED6FE0">
      <w:pPr>
        <w:ind w:firstLine="420"/>
      </w:pPr>
    </w:p>
    <w:p w14:paraId="37C3CD71" w14:textId="2648277D" w:rsidR="00ED6FE0" w:rsidRPr="00C76574" w:rsidRDefault="00C73DED">
      <w:pPr>
        <w:pStyle w:val="afa"/>
      </w:pPr>
      <w:r w:rsidRPr="00C76574">
        <w:t xml:space="preserve">Grinberg YY </w:t>
      </w:r>
      <w:r w:rsidRPr="00C76574">
        <w:rPr>
          <w:rFonts w:eastAsiaTheme="minorEastAsia"/>
          <w:i/>
          <w:iCs/>
        </w:rPr>
        <w:t>et al</w:t>
      </w:r>
      <w:r w:rsidRPr="00C76574">
        <w:rPr>
          <w:rFonts w:eastAsiaTheme="minorEastAsia"/>
        </w:rPr>
        <w:t xml:space="preserve">. </w:t>
      </w:r>
      <w:r w:rsidRPr="00C76574">
        <w:t>[</w:t>
      </w:r>
      <w:r w:rsidRPr="00C76574">
        <w:rPr>
          <w:rFonts w:eastAsia="宋体"/>
        </w:rPr>
        <w:t>25</w:t>
      </w:r>
      <w:r w:rsidRPr="00C76574">
        <w:t>] (2013)</w:t>
      </w: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1948"/>
        <w:gridCol w:w="9886"/>
      </w:tblGrid>
      <w:tr w:rsidR="00C76574" w:rsidRPr="00C76574" w14:paraId="4D4DC19A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2A4FBECE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lastRenderedPageBreak/>
              <w:t>Evaluation Item</w:t>
            </w:r>
          </w:p>
        </w:tc>
        <w:tc>
          <w:tcPr>
            <w:tcW w:w="656" w:type="pct"/>
            <w:vAlign w:val="center"/>
          </w:tcPr>
          <w:p w14:paraId="5057A77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Risk Assessment</w:t>
            </w:r>
          </w:p>
        </w:tc>
        <w:tc>
          <w:tcPr>
            <w:tcW w:w="3330" w:type="pct"/>
            <w:vAlign w:val="center"/>
          </w:tcPr>
          <w:p w14:paraId="4DBFAC9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Supporting Evidence</w:t>
            </w:r>
          </w:p>
        </w:tc>
      </w:tr>
      <w:tr w:rsidR="00C76574" w:rsidRPr="00C76574" w14:paraId="30118742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3B08FE1F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Sequence generation</w:t>
            </w:r>
          </w:p>
        </w:tc>
        <w:tc>
          <w:tcPr>
            <w:tcW w:w="656" w:type="pct"/>
            <w:vAlign w:val="center"/>
          </w:tcPr>
          <w:p w14:paraId="6309C88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330" w:type="pct"/>
            <w:vAlign w:val="center"/>
          </w:tcPr>
          <w:p w14:paraId="095F822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“some slices were placed in media supplemented with IGF-1”</w:t>
            </w:r>
          </w:p>
        </w:tc>
      </w:tr>
      <w:tr w:rsidR="00C76574" w:rsidRPr="00C76574" w14:paraId="0428EEE5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2B7ECE70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Baseline characteristics</w:t>
            </w:r>
          </w:p>
        </w:tc>
        <w:tc>
          <w:tcPr>
            <w:tcW w:w="656" w:type="pct"/>
            <w:vAlign w:val="center"/>
          </w:tcPr>
          <w:p w14:paraId="3AC261E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330" w:type="pct"/>
            <w:vAlign w:val="center"/>
          </w:tcPr>
          <w:p w14:paraId="4E328BC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 reporting of baseline characteristics like animal weight or slice vitality: “SD was induced...”</w:t>
            </w:r>
          </w:p>
        </w:tc>
      </w:tr>
      <w:tr w:rsidR="00C76574" w:rsidRPr="00C76574" w14:paraId="6A66CEC8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31617101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Allocation concealment</w:t>
            </w:r>
          </w:p>
        </w:tc>
        <w:tc>
          <w:tcPr>
            <w:tcW w:w="656" w:type="pct"/>
            <w:vAlign w:val="center"/>
          </w:tcPr>
          <w:p w14:paraId="0238F47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330" w:type="pct"/>
            <w:vAlign w:val="center"/>
          </w:tcPr>
          <w:p w14:paraId="5E07C03D" w14:textId="77777777" w:rsidR="00ED6FE0" w:rsidRPr="00C76574" w:rsidRDefault="00C73DED">
            <w:pPr>
              <w:tabs>
                <w:tab w:val="left" w:pos="1102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55E80DAD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0517D1B6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housing</w:t>
            </w:r>
          </w:p>
        </w:tc>
        <w:tc>
          <w:tcPr>
            <w:tcW w:w="656" w:type="pct"/>
            <w:vAlign w:val="center"/>
          </w:tcPr>
          <w:p w14:paraId="7DD4DAA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330" w:type="pct"/>
            <w:vAlign w:val="center"/>
          </w:tcPr>
          <w:p w14:paraId="69D61B7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 xml:space="preserve">“The study utilized </w:t>
            </w:r>
            <w:r w:rsidRPr="00C76574">
              <w:rPr>
                <w:rFonts w:ascii="Times New Roman" w:hAnsi="Times New Roman"/>
                <w:i/>
                <w:iCs/>
              </w:rPr>
              <w:t>ex vivo</w:t>
            </w:r>
            <w:r w:rsidRPr="00C76574">
              <w:rPr>
                <w:rFonts w:ascii="Times New Roman" w:hAnsi="Times New Roman"/>
              </w:rPr>
              <w:t xml:space="preserve"> brain slice cultures, without involving in vivo animal housing: ‘All electrophysiological and pharmacological manipulations were performed... in serum-free media’”</w:t>
            </w:r>
          </w:p>
        </w:tc>
      </w:tr>
      <w:tr w:rsidR="00C76574" w:rsidRPr="00C76574" w14:paraId="72AE8BE6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2618C33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Performance bias</w:t>
            </w:r>
          </w:p>
        </w:tc>
        <w:tc>
          <w:tcPr>
            <w:tcW w:w="656" w:type="pct"/>
            <w:vAlign w:val="center"/>
          </w:tcPr>
          <w:p w14:paraId="334C5F0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330" w:type="pct"/>
            <w:vAlign w:val="center"/>
          </w:tcPr>
          <w:p w14:paraId="13E5D1C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 xml:space="preserve">Not mentioned: nNo mention of blinding during interventions, </w:t>
            </w:r>
            <w:r w:rsidRPr="00C76574">
              <w:rPr>
                <w:rFonts w:ascii="Times New Roman" w:hAnsi="Times New Roman"/>
                <w:i/>
                <w:iCs/>
              </w:rPr>
              <w:t>e.g.</w:t>
            </w:r>
            <w:r w:rsidRPr="00C76574">
              <w:rPr>
                <w:rFonts w:ascii="Times New Roman" w:hAnsi="Times New Roman"/>
              </w:rPr>
              <w:t>, IGF-1/TNF-α administration</w:t>
            </w:r>
          </w:p>
        </w:tc>
      </w:tr>
      <w:tr w:rsidR="00C76574" w:rsidRPr="00C76574" w14:paraId="3E1D98C9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2D39DC02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Blinding outcome assessment</w:t>
            </w:r>
          </w:p>
        </w:tc>
        <w:tc>
          <w:tcPr>
            <w:tcW w:w="656" w:type="pct"/>
            <w:vAlign w:val="center"/>
          </w:tcPr>
          <w:p w14:paraId="1FBA107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330" w:type="pct"/>
            <w:vAlign w:val="center"/>
          </w:tcPr>
          <w:p w14:paraId="401699F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“3–5 confocal images were taken per slice”</w:t>
            </w:r>
          </w:p>
        </w:tc>
      </w:tr>
      <w:tr w:rsidR="00C76574" w:rsidRPr="00C76574" w14:paraId="2F24A415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107B1AC2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Detection bias</w:t>
            </w:r>
          </w:p>
        </w:tc>
        <w:tc>
          <w:tcPr>
            <w:tcW w:w="656" w:type="pct"/>
            <w:vAlign w:val="center"/>
          </w:tcPr>
          <w:p w14:paraId="5DBE3FB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330" w:type="pct"/>
            <w:vAlign w:val="center"/>
          </w:tcPr>
          <w:p w14:paraId="66A04FD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“Blinding only for OS measurement, not specified for other outcomes like TNF-α or electrophysiology”</w:t>
            </w:r>
          </w:p>
        </w:tc>
      </w:tr>
      <w:tr w:rsidR="00C76574" w:rsidRPr="00C76574" w14:paraId="630ECF23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2BB78874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Incomplete outcome data</w:t>
            </w:r>
          </w:p>
        </w:tc>
        <w:tc>
          <w:tcPr>
            <w:tcW w:w="656" w:type="pct"/>
            <w:vAlign w:val="center"/>
          </w:tcPr>
          <w:p w14:paraId="3AFAA74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330" w:type="pct"/>
            <w:vAlign w:val="center"/>
          </w:tcPr>
          <w:p w14:paraId="3CF0202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Complete sample size reported for all experiments with no missing data: “A blinded investigator selected OS-labeled cell bodies...”</w:t>
            </w:r>
          </w:p>
        </w:tc>
      </w:tr>
      <w:tr w:rsidR="00C76574" w:rsidRPr="00C76574" w14:paraId="7081028D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A2D506D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Selective outcome reporting</w:t>
            </w:r>
          </w:p>
        </w:tc>
        <w:tc>
          <w:tcPr>
            <w:tcW w:w="656" w:type="pct"/>
            <w:vAlign w:val="center"/>
          </w:tcPr>
          <w:p w14:paraId="47732FD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330" w:type="pct"/>
            <w:vAlign w:val="center"/>
          </w:tcPr>
          <w:p w14:paraId="28FF984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predefined primary outcomes were fully reported: “All described outcomes—OS, TNF-α, SD threshold”</w:t>
            </w:r>
          </w:p>
        </w:tc>
      </w:tr>
      <w:tr w:rsidR="00ED6FE0" w:rsidRPr="00C76574" w14:paraId="7DF31A0D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204BCE9D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Other sources of bias</w:t>
            </w:r>
          </w:p>
        </w:tc>
        <w:tc>
          <w:tcPr>
            <w:tcW w:w="656" w:type="pct"/>
            <w:vAlign w:val="center"/>
          </w:tcPr>
          <w:p w14:paraId="17422C6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High risk</w:t>
            </w:r>
          </w:p>
        </w:tc>
        <w:tc>
          <w:tcPr>
            <w:tcW w:w="3330" w:type="pct"/>
            <w:vAlign w:val="center"/>
          </w:tcPr>
          <w:p w14:paraId="60AD9327" w14:textId="77777777" w:rsidR="00ED6FE0" w:rsidRPr="00C76574" w:rsidRDefault="00C73DED">
            <w:pPr>
              <w:tabs>
                <w:tab w:val="left" w:pos="907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“filed an international patent application (PCT/US2012/047683) entitled ‘Treatments for Migraine and Related Disorders’ on 20 July 2012 which partially involves development of IGF-1 as a therapeutic for migraine”</w:t>
            </w:r>
          </w:p>
        </w:tc>
      </w:tr>
    </w:tbl>
    <w:p w14:paraId="723B7196" w14:textId="77777777" w:rsidR="00ED6FE0" w:rsidRPr="00C76574" w:rsidRDefault="00ED6FE0">
      <w:pPr>
        <w:ind w:firstLine="420"/>
      </w:pPr>
    </w:p>
    <w:p w14:paraId="6D8173E9" w14:textId="77777777" w:rsidR="00ED6FE0" w:rsidRPr="00C76574" w:rsidRDefault="00ED6FE0">
      <w:pPr>
        <w:ind w:firstLine="420"/>
      </w:pPr>
    </w:p>
    <w:p w14:paraId="1A48AB8E" w14:textId="0CDB0594" w:rsidR="00ED6FE0" w:rsidRPr="00C76574" w:rsidRDefault="00C73DED">
      <w:pPr>
        <w:pStyle w:val="afa"/>
      </w:pPr>
      <w:r w:rsidRPr="00C76574">
        <w:t xml:space="preserve">Pusic KM </w:t>
      </w:r>
      <w:r w:rsidRPr="00C76574">
        <w:rPr>
          <w:rFonts w:eastAsiaTheme="minorEastAsia"/>
          <w:i/>
          <w:iCs/>
        </w:rPr>
        <w:t>et al</w:t>
      </w:r>
      <w:r w:rsidRPr="00C76574">
        <w:rPr>
          <w:rFonts w:eastAsiaTheme="minorEastAsia"/>
        </w:rPr>
        <w:t xml:space="preserve">. </w:t>
      </w:r>
      <w:r w:rsidRPr="00C76574">
        <w:t>[</w:t>
      </w:r>
      <w:r w:rsidRPr="00C76574">
        <w:rPr>
          <w:rFonts w:eastAsia="宋体"/>
        </w:rPr>
        <w:t>26</w:t>
      </w:r>
      <w:r w:rsidRPr="00C76574">
        <w:t>] (2019)</w:t>
      </w: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2114"/>
        <w:gridCol w:w="9720"/>
      </w:tblGrid>
      <w:tr w:rsidR="00C76574" w:rsidRPr="00C76574" w14:paraId="3161ADE9" w14:textId="77777777">
        <w:trPr>
          <w:trHeight w:val="227"/>
          <w:jc w:val="center"/>
        </w:trPr>
        <w:tc>
          <w:tcPr>
            <w:tcW w:w="1014" w:type="pct"/>
            <w:vAlign w:val="center"/>
          </w:tcPr>
          <w:p w14:paraId="6304864E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Evaluation Item</w:t>
            </w:r>
          </w:p>
        </w:tc>
        <w:tc>
          <w:tcPr>
            <w:tcW w:w="712" w:type="pct"/>
            <w:vAlign w:val="center"/>
          </w:tcPr>
          <w:p w14:paraId="3FA155D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Risk Assessment</w:t>
            </w:r>
          </w:p>
        </w:tc>
        <w:tc>
          <w:tcPr>
            <w:tcW w:w="3274" w:type="pct"/>
            <w:vAlign w:val="center"/>
          </w:tcPr>
          <w:p w14:paraId="2B6734C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Supporting Evidence</w:t>
            </w:r>
          </w:p>
        </w:tc>
      </w:tr>
      <w:tr w:rsidR="00C76574" w:rsidRPr="00C76574" w14:paraId="4FB051CE" w14:textId="77777777">
        <w:trPr>
          <w:trHeight w:val="227"/>
          <w:jc w:val="center"/>
        </w:trPr>
        <w:tc>
          <w:tcPr>
            <w:tcW w:w="1014" w:type="pct"/>
            <w:vAlign w:val="center"/>
          </w:tcPr>
          <w:p w14:paraId="0B598CC7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Sequence generation</w:t>
            </w:r>
          </w:p>
        </w:tc>
        <w:tc>
          <w:tcPr>
            <w:tcW w:w="712" w:type="pct"/>
            <w:vAlign w:val="center"/>
          </w:tcPr>
          <w:p w14:paraId="057A6C9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44A3819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“Male Wistar rats (10–12 weeks old) were double-housed”</w:t>
            </w:r>
          </w:p>
        </w:tc>
      </w:tr>
      <w:tr w:rsidR="00C76574" w:rsidRPr="00C76574" w14:paraId="273BBABA" w14:textId="77777777">
        <w:trPr>
          <w:trHeight w:val="227"/>
          <w:jc w:val="center"/>
        </w:trPr>
        <w:tc>
          <w:tcPr>
            <w:tcW w:w="1014" w:type="pct"/>
            <w:vAlign w:val="center"/>
          </w:tcPr>
          <w:p w14:paraId="3A3F29A6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Baseline characteristics</w:t>
            </w:r>
          </w:p>
        </w:tc>
        <w:tc>
          <w:tcPr>
            <w:tcW w:w="712" w:type="pct"/>
            <w:vAlign w:val="center"/>
          </w:tcPr>
          <w:p w14:paraId="242D88A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01E0C6E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Uniform baseline conditions: “Male Wistar rats (10–12 weeks old); Untimed pregnant Wistar female rats...”</w:t>
            </w:r>
          </w:p>
        </w:tc>
      </w:tr>
      <w:tr w:rsidR="00C76574" w:rsidRPr="00C76574" w14:paraId="71EE70F4" w14:textId="77777777">
        <w:trPr>
          <w:trHeight w:val="227"/>
          <w:jc w:val="center"/>
        </w:trPr>
        <w:tc>
          <w:tcPr>
            <w:tcW w:w="1014" w:type="pct"/>
            <w:vAlign w:val="center"/>
          </w:tcPr>
          <w:p w14:paraId="3977427F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Allocation concealment</w:t>
            </w:r>
          </w:p>
        </w:tc>
        <w:tc>
          <w:tcPr>
            <w:tcW w:w="712" w:type="pct"/>
            <w:vAlign w:val="center"/>
          </w:tcPr>
          <w:p w14:paraId="2F3ED33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183986A0" w14:textId="77777777" w:rsidR="00ED6FE0" w:rsidRPr="00C76574" w:rsidRDefault="00C73DED">
            <w:pPr>
              <w:tabs>
                <w:tab w:val="left" w:pos="1102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0A5E3B7B" w14:textId="77777777">
        <w:trPr>
          <w:trHeight w:val="227"/>
          <w:jc w:val="center"/>
        </w:trPr>
        <w:tc>
          <w:tcPr>
            <w:tcW w:w="1014" w:type="pct"/>
            <w:vAlign w:val="center"/>
          </w:tcPr>
          <w:p w14:paraId="63702FC2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housing</w:t>
            </w:r>
          </w:p>
        </w:tc>
        <w:tc>
          <w:tcPr>
            <w:tcW w:w="712" w:type="pct"/>
            <w:vAlign w:val="center"/>
          </w:tcPr>
          <w:p w14:paraId="61E50DB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2B4B7F4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animals were housed in the same environment, meeting the requirement for randomized housing: “double-housed</w:t>
            </w:r>
            <w:r w:rsidRPr="00C76574">
              <w:rPr>
                <w:rFonts w:ascii="Times New Roman" w:eastAsia="宋体" w:hAnsi="Times New Roman"/>
              </w:rPr>
              <w:t xml:space="preserve">; </w:t>
            </w:r>
            <w:r w:rsidRPr="00C76574">
              <w:rPr>
                <w:rFonts w:ascii="Times New Roman" w:hAnsi="Times New Roman"/>
              </w:rPr>
              <w:t>single-housed with Enviro-dri paper bedding and Nestlets”</w:t>
            </w:r>
          </w:p>
        </w:tc>
      </w:tr>
      <w:tr w:rsidR="00C76574" w:rsidRPr="00C76574" w14:paraId="4B46E4D0" w14:textId="77777777">
        <w:trPr>
          <w:trHeight w:val="227"/>
          <w:jc w:val="center"/>
        </w:trPr>
        <w:tc>
          <w:tcPr>
            <w:tcW w:w="1014" w:type="pct"/>
            <w:vAlign w:val="center"/>
          </w:tcPr>
          <w:p w14:paraId="5C1CA71D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Performance bias</w:t>
            </w:r>
          </w:p>
        </w:tc>
        <w:tc>
          <w:tcPr>
            <w:tcW w:w="712" w:type="pct"/>
            <w:vAlign w:val="center"/>
          </w:tcPr>
          <w:p w14:paraId="5243DDA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109BFD0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“SD threshold determined</w:t>
            </w:r>
            <w:r w:rsidRPr="00C76574">
              <w:rPr>
                <w:rFonts w:ascii="Times New Roman" w:eastAsia="宋体" w:hAnsi="Times New Roman"/>
              </w:rPr>
              <w:t xml:space="preserve">; </w:t>
            </w:r>
            <w:r w:rsidRPr="00C76574">
              <w:rPr>
                <w:rFonts w:ascii="Times New Roman" w:hAnsi="Times New Roman"/>
              </w:rPr>
              <w:t>Quantification... by BCA assay”</w:t>
            </w:r>
          </w:p>
        </w:tc>
      </w:tr>
      <w:tr w:rsidR="00C76574" w:rsidRPr="00C76574" w14:paraId="4787871C" w14:textId="77777777">
        <w:trPr>
          <w:trHeight w:val="227"/>
          <w:jc w:val="center"/>
        </w:trPr>
        <w:tc>
          <w:tcPr>
            <w:tcW w:w="1014" w:type="pct"/>
            <w:vAlign w:val="center"/>
          </w:tcPr>
          <w:p w14:paraId="79C4CF48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Blinding outcome assessment</w:t>
            </w:r>
          </w:p>
        </w:tc>
        <w:tc>
          <w:tcPr>
            <w:tcW w:w="712" w:type="pct"/>
            <w:vAlign w:val="center"/>
          </w:tcPr>
          <w:p w14:paraId="0E51078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559B729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  <w:r w:rsidRPr="00C76574">
              <w:rPr>
                <w:rFonts w:ascii="Times New Roman" w:eastAsia="宋体" w:hAnsi="Times New Roman"/>
              </w:rPr>
              <w:t xml:space="preserve">: </w:t>
            </w:r>
            <w:r w:rsidRPr="00C76574">
              <w:rPr>
                <w:rFonts w:ascii="Times New Roman" w:hAnsi="Times New Roman"/>
              </w:rPr>
              <w:t>“Recording microelectrodes... positioned using WR 60 manipulators</w:t>
            </w:r>
            <w:r w:rsidRPr="00C76574">
              <w:rPr>
                <w:rFonts w:ascii="Times New Roman" w:eastAsia="宋体" w:hAnsi="Times New Roman"/>
              </w:rPr>
              <w:t xml:space="preserve">; </w:t>
            </w:r>
            <w:r w:rsidRPr="00C76574">
              <w:rPr>
                <w:rFonts w:ascii="Times New Roman" w:hAnsi="Times New Roman"/>
              </w:rPr>
              <w:t>Protein carbonyl levels... according to manufacturer’s protocol”</w:t>
            </w:r>
          </w:p>
        </w:tc>
      </w:tr>
      <w:tr w:rsidR="00C76574" w:rsidRPr="00C76574" w14:paraId="7BCEDE24" w14:textId="77777777">
        <w:trPr>
          <w:trHeight w:val="227"/>
          <w:jc w:val="center"/>
        </w:trPr>
        <w:tc>
          <w:tcPr>
            <w:tcW w:w="1014" w:type="pct"/>
            <w:vAlign w:val="center"/>
          </w:tcPr>
          <w:p w14:paraId="355713DD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Detection bias</w:t>
            </w:r>
          </w:p>
        </w:tc>
        <w:tc>
          <w:tcPr>
            <w:tcW w:w="712" w:type="pct"/>
            <w:vAlign w:val="center"/>
          </w:tcPr>
          <w:p w14:paraId="68A1E53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25E275D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346308C6" w14:textId="77777777">
        <w:trPr>
          <w:trHeight w:val="227"/>
          <w:jc w:val="center"/>
        </w:trPr>
        <w:tc>
          <w:tcPr>
            <w:tcW w:w="1014" w:type="pct"/>
            <w:vAlign w:val="center"/>
          </w:tcPr>
          <w:p w14:paraId="4A2CF7A6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lastRenderedPageBreak/>
              <w:t>Incomplete outcome data</w:t>
            </w:r>
          </w:p>
        </w:tc>
        <w:tc>
          <w:tcPr>
            <w:tcW w:w="712" w:type="pct"/>
            <w:vAlign w:val="center"/>
          </w:tcPr>
          <w:p w14:paraId="3A257CC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4B3110E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Complete sample size reported for all experiments with no missing data: “n = 8/group”</w:t>
            </w:r>
          </w:p>
        </w:tc>
      </w:tr>
      <w:tr w:rsidR="00C76574" w:rsidRPr="00C76574" w14:paraId="2B27189D" w14:textId="77777777">
        <w:trPr>
          <w:trHeight w:val="227"/>
          <w:jc w:val="center"/>
        </w:trPr>
        <w:tc>
          <w:tcPr>
            <w:tcW w:w="1014" w:type="pct"/>
            <w:vAlign w:val="center"/>
          </w:tcPr>
          <w:p w14:paraId="56546201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Selective outcome reporting</w:t>
            </w:r>
          </w:p>
        </w:tc>
        <w:tc>
          <w:tcPr>
            <w:tcW w:w="712" w:type="pct"/>
            <w:vAlign w:val="center"/>
          </w:tcPr>
          <w:p w14:paraId="7E40A48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10F53CB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predefined primary outcomes were fully reported: “SD threshold, iNOS, protein carbonyl detection”</w:t>
            </w:r>
          </w:p>
        </w:tc>
      </w:tr>
      <w:tr w:rsidR="00ED6FE0" w:rsidRPr="00C76574" w14:paraId="639FECA3" w14:textId="77777777">
        <w:trPr>
          <w:trHeight w:val="227"/>
          <w:jc w:val="center"/>
        </w:trPr>
        <w:tc>
          <w:tcPr>
            <w:tcW w:w="1014" w:type="pct"/>
            <w:vAlign w:val="center"/>
          </w:tcPr>
          <w:p w14:paraId="15E81A9A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Other sources of bias</w:t>
            </w:r>
          </w:p>
        </w:tc>
        <w:tc>
          <w:tcPr>
            <w:tcW w:w="712" w:type="pct"/>
            <w:vAlign w:val="center"/>
          </w:tcPr>
          <w:p w14:paraId="0451381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3AE0F83C" w14:textId="77777777" w:rsidR="00ED6FE0" w:rsidRPr="00C76574" w:rsidRDefault="00C73DED">
            <w:pPr>
              <w:tabs>
                <w:tab w:val="left" w:pos="907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shows no evidence of contamination, funder influence, or unit-of-analysis errors.</w:t>
            </w:r>
          </w:p>
        </w:tc>
      </w:tr>
    </w:tbl>
    <w:p w14:paraId="09461710" w14:textId="77777777" w:rsidR="00ED6FE0" w:rsidRPr="00C76574" w:rsidRDefault="00ED6FE0">
      <w:pPr>
        <w:ind w:firstLine="420"/>
      </w:pPr>
    </w:p>
    <w:p w14:paraId="60EF7F3A" w14:textId="77777777" w:rsidR="00ED6FE0" w:rsidRPr="00C76574" w:rsidRDefault="00ED6FE0">
      <w:pPr>
        <w:ind w:firstLine="420"/>
      </w:pPr>
    </w:p>
    <w:p w14:paraId="5EF0B9AC" w14:textId="2BEF0DC1" w:rsidR="00ED6FE0" w:rsidRPr="00C76574" w:rsidRDefault="00C73DED">
      <w:pPr>
        <w:pStyle w:val="afa"/>
      </w:pPr>
      <w:r w:rsidRPr="00C76574">
        <w:t xml:space="preserve">Pusic AD </w:t>
      </w:r>
      <w:r w:rsidRPr="00C76574">
        <w:rPr>
          <w:rFonts w:eastAsiaTheme="minorEastAsia"/>
          <w:i/>
          <w:iCs/>
        </w:rPr>
        <w:t>et al</w:t>
      </w:r>
      <w:r w:rsidRPr="00C76574">
        <w:rPr>
          <w:rFonts w:eastAsiaTheme="minorEastAsia"/>
        </w:rPr>
        <w:t xml:space="preserve">. </w:t>
      </w:r>
      <w:r w:rsidRPr="00C76574">
        <w:t>[</w:t>
      </w:r>
      <w:r w:rsidRPr="00C76574">
        <w:rPr>
          <w:rFonts w:eastAsia="宋体"/>
        </w:rPr>
        <w:t>27</w:t>
      </w:r>
      <w:r w:rsidRPr="00C76574">
        <w:t>] (2015b)</w:t>
      </w: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2114"/>
        <w:gridCol w:w="9720"/>
      </w:tblGrid>
      <w:tr w:rsidR="00C76574" w:rsidRPr="00C76574" w14:paraId="45F92865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00380EA7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Evaluation Item</w:t>
            </w:r>
          </w:p>
        </w:tc>
        <w:tc>
          <w:tcPr>
            <w:tcW w:w="712" w:type="pct"/>
            <w:vAlign w:val="center"/>
          </w:tcPr>
          <w:p w14:paraId="0196D8F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Risk Assessment</w:t>
            </w:r>
          </w:p>
        </w:tc>
        <w:tc>
          <w:tcPr>
            <w:tcW w:w="3274" w:type="pct"/>
            <w:vAlign w:val="center"/>
          </w:tcPr>
          <w:p w14:paraId="130F1DD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Supporting Evidence</w:t>
            </w:r>
          </w:p>
        </w:tc>
      </w:tr>
      <w:tr w:rsidR="00C76574" w:rsidRPr="00C76574" w14:paraId="70E5C5AA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028F94F2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Sequence generation</w:t>
            </w:r>
          </w:p>
        </w:tc>
        <w:tc>
          <w:tcPr>
            <w:tcW w:w="712" w:type="pct"/>
            <w:vAlign w:val="center"/>
          </w:tcPr>
          <w:p w14:paraId="5951AAC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2D1099B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“Wistar rats were obtained from Charles River Laboratories”; “hippocampal slice cultures were made from the brains of P10 Wistar rats”</w:t>
            </w:r>
          </w:p>
        </w:tc>
      </w:tr>
      <w:tr w:rsidR="00C76574" w:rsidRPr="00C76574" w14:paraId="7D2DA2E4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39DCEFD6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Baseline characteristics</w:t>
            </w:r>
          </w:p>
        </w:tc>
        <w:tc>
          <w:tcPr>
            <w:tcW w:w="712" w:type="pct"/>
            <w:vAlign w:val="center"/>
          </w:tcPr>
          <w:p w14:paraId="6BE9BFE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0174E97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Uniform baseline conditions: “Wistar rats were obtained from Charles River Laboratories</w:t>
            </w:r>
            <w:r w:rsidRPr="00C76574">
              <w:rPr>
                <w:rFonts w:ascii="Times New Roman" w:eastAsia="宋体" w:hAnsi="Times New Roman"/>
              </w:rPr>
              <w:t xml:space="preserve">; </w:t>
            </w:r>
            <w:r w:rsidRPr="00C76574">
              <w:rPr>
                <w:rFonts w:ascii="Times New Roman" w:hAnsi="Times New Roman"/>
              </w:rPr>
              <w:t>hippocampal slice cultures were prepared from P10 pups</w:t>
            </w:r>
            <w:r w:rsidRPr="00C76574">
              <w:rPr>
                <w:rFonts w:ascii="Times New Roman" w:eastAsia="宋体" w:hAnsi="Times New Roman"/>
              </w:rPr>
              <w:t xml:space="preserve">; </w:t>
            </w:r>
            <w:r w:rsidRPr="00C76574">
              <w:rPr>
                <w:rFonts w:ascii="Times New Roman" w:hAnsi="Times New Roman"/>
              </w:rPr>
              <w:t>age-matched untreated cultures served as controls”</w:t>
            </w:r>
          </w:p>
        </w:tc>
      </w:tr>
      <w:tr w:rsidR="00C76574" w:rsidRPr="00C76574" w14:paraId="5DB9EABD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5ACF0029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Allocation concealment</w:t>
            </w:r>
          </w:p>
        </w:tc>
        <w:tc>
          <w:tcPr>
            <w:tcW w:w="712" w:type="pct"/>
            <w:vAlign w:val="center"/>
          </w:tcPr>
          <w:p w14:paraId="5246098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63E83158" w14:textId="77777777" w:rsidR="00ED6FE0" w:rsidRPr="00C76574" w:rsidRDefault="00C73DED">
            <w:pPr>
              <w:tabs>
                <w:tab w:val="left" w:pos="1102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76F9BED8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06F3278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housing</w:t>
            </w:r>
          </w:p>
        </w:tc>
        <w:tc>
          <w:tcPr>
            <w:tcW w:w="712" w:type="pct"/>
            <w:vAlign w:val="center"/>
          </w:tcPr>
          <w:p w14:paraId="04F00F5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08887B9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 xml:space="preserve">Uniform baseline conditions: “maintained under normal incubation conditions (36 </w:t>
            </w:r>
            <w:r w:rsidRPr="00C76574">
              <w:rPr>
                <w:rFonts w:ascii="Times New Roman" w:eastAsiaTheme="minorEastAsia" w:hAnsi="Times New Roman"/>
              </w:rPr>
              <w:t>℃</w:t>
            </w:r>
            <w:r w:rsidRPr="00C76574">
              <w:rPr>
                <w:rFonts w:ascii="Times New Roman" w:hAnsi="Times New Roman"/>
              </w:rPr>
              <w:t>, 95% humidity and 5% carbon dioxide-balance air)”</w:t>
            </w:r>
          </w:p>
        </w:tc>
      </w:tr>
      <w:tr w:rsidR="00C76574" w:rsidRPr="00C76574" w14:paraId="3CA74AD5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661B5BC1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Performance bias</w:t>
            </w:r>
          </w:p>
        </w:tc>
        <w:tc>
          <w:tcPr>
            <w:tcW w:w="712" w:type="pct"/>
            <w:vAlign w:val="center"/>
          </w:tcPr>
          <w:p w14:paraId="429BDB8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70425AE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2F4371F2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78EE9648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Blinding outcome assessment</w:t>
            </w:r>
          </w:p>
        </w:tc>
        <w:tc>
          <w:tcPr>
            <w:tcW w:w="712" w:type="pct"/>
            <w:vAlign w:val="center"/>
          </w:tcPr>
          <w:p w14:paraId="74083E3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7B48B48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4534AC06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97719F8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Detection bias</w:t>
            </w:r>
          </w:p>
        </w:tc>
        <w:tc>
          <w:tcPr>
            <w:tcW w:w="712" w:type="pct"/>
            <w:vAlign w:val="center"/>
          </w:tcPr>
          <w:p w14:paraId="792C1CC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2C57F3E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“For immunohistochemical staining... no mention of blinding</w:t>
            </w:r>
            <w:r w:rsidRPr="00C76574">
              <w:rPr>
                <w:rFonts w:ascii="Times New Roman" w:eastAsia="宋体" w:hAnsi="Times New Roman"/>
              </w:rPr>
              <w:t xml:space="preserve"> (</w:t>
            </w:r>
            <w:r w:rsidRPr="00C76574">
              <w:rPr>
                <w:rFonts w:ascii="Times New Roman" w:hAnsi="Times New Roman"/>
                <w:i/>
                <w:iCs/>
              </w:rPr>
              <w:t>e.g.</w:t>
            </w:r>
            <w:r w:rsidRPr="00C76574">
              <w:rPr>
                <w:rFonts w:ascii="Times New Roman" w:hAnsi="Times New Roman"/>
              </w:rPr>
              <w:t>, Immunostaining... was accomplished as previously described”</w:t>
            </w:r>
          </w:p>
        </w:tc>
      </w:tr>
      <w:tr w:rsidR="00C76574" w:rsidRPr="00C76574" w14:paraId="4951C6D5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10B84A7C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Incomplete outcome data</w:t>
            </w:r>
          </w:p>
        </w:tc>
        <w:tc>
          <w:tcPr>
            <w:tcW w:w="712" w:type="pct"/>
            <w:vAlign w:val="center"/>
          </w:tcPr>
          <w:p w14:paraId="090E248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7E9C32B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“Complete sample size reported for all experiments with no missing data: ‘n = 6–12/group’”</w:t>
            </w:r>
          </w:p>
        </w:tc>
      </w:tr>
      <w:tr w:rsidR="00C76574" w:rsidRPr="00C76574" w14:paraId="7D30532D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6145B012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Selective outcome reporting</w:t>
            </w:r>
          </w:p>
        </w:tc>
        <w:tc>
          <w:tcPr>
            <w:tcW w:w="712" w:type="pct"/>
            <w:vAlign w:val="center"/>
          </w:tcPr>
          <w:p w14:paraId="4980827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62193C6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predefined primary outcomes were fully reported: “MBP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SDT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OS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GSH...”</w:t>
            </w:r>
          </w:p>
        </w:tc>
      </w:tr>
      <w:tr w:rsidR="00ED6FE0" w:rsidRPr="00C76574" w14:paraId="08AA3420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1F3D1EB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Other sources of bias</w:t>
            </w:r>
          </w:p>
        </w:tc>
        <w:tc>
          <w:tcPr>
            <w:tcW w:w="712" w:type="pct"/>
            <w:vAlign w:val="center"/>
          </w:tcPr>
          <w:p w14:paraId="41C905D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High risk</w:t>
            </w:r>
          </w:p>
        </w:tc>
        <w:tc>
          <w:tcPr>
            <w:tcW w:w="3274" w:type="pct"/>
            <w:vAlign w:val="center"/>
          </w:tcPr>
          <w:p w14:paraId="57F26219" w14:textId="77777777" w:rsidR="00ED6FE0" w:rsidRPr="00C76574" w:rsidRDefault="00C73DED">
            <w:pPr>
              <w:tabs>
                <w:tab w:val="left" w:pos="907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The investigator holds patents related to the research findings, which may introduce conflict of interest bias: “The authors report patents pending... no other disclosures”</w:t>
            </w:r>
          </w:p>
        </w:tc>
      </w:tr>
    </w:tbl>
    <w:p w14:paraId="049E5757" w14:textId="77777777" w:rsidR="00ED6FE0" w:rsidRPr="00C76574" w:rsidRDefault="00ED6FE0">
      <w:pPr>
        <w:ind w:firstLine="420"/>
      </w:pPr>
    </w:p>
    <w:p w14:paraId="4989626C" w14:textId="77777777" w:rsidR="00ED6FE0" w:rsidRPr="00C76574" w:rsidRDefault="00ED6FE0">
      <w:pPr>
        <w:ind w:firstLine="420"/>
      </w:pPr>
    </w:p>
    <w:p w14:paraId="36919D74" w14:textId="59175D22" w:rsidR="00ED6FE0" w:rsidRPr="00C76574" w:rsidRDefault="00C73DED">
      <w:pPr>
        <w:pStyle w:val="afa"/>
      </w:pPr>
      <w:r w:rsidRPr="00C76574">
        <w:t xml:space="preserve">Ackermann MA </w:t>
      </w:r>
      <w:r w:rsidRPr="00C76574">
        <w:rPr>
          <w:rFonts w:eastAsiaTheme="minorEastAsia"/>
          <w:i/>
          <w:iCs/>
        </w:rPr>
        <w:t>et al</w:t>
      </w:r>
      <w:r w:rsidRPr="00C76574">
        <w:rPr>
          <w:rFonts w:eastAsiaTheme="minorEastAsia"/>
        </w:rPr>
        <w:t xml:space="preserve">. </w:t>
      </w:r>
      <w:r w:rsidRPr="00C76574">
        <w:t>[</w:t>
      </w:r>
      <w:r w:rsidRPr="00C76574">
        <w:rPr>
          <w:rFonts w:eastAsia="宋体"/>
        </w:rPr>
        <w:t>13</w:t>
      </w:r>
      <w:r w:rsidRPr="00C76574">
        <w:t>] (2024)</w:t>
      </w: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2114"/>
        <w:gridCol w:w="9720"/>
      </w:tblGrid>
      <w:tr w:rsidR="00C76574" w:rsidRPr="00C76574" w14:paraId="49E9277B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6F1E97FD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Evaluation Item</w:t>
            </w:r>
          </w:p>
        </w:tc>
        <w:tc>
          <w:tcPr>
            <w:tcW w:w="712" w:type="pct"/>
            <w:vAlign w:val="center"/>
          </w:tcPr>
          <w:p w14:paraId="03B9C3C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Risk Assessment</w:t>
            </w:r>
          </w:p>
        </w:tc>
        <w:tc>
          <w:tcPr>
            <w:tcW w:w="3274" w:type="pct"/>
            <w:vAlign w:val="center"/>
          </w:tcPr>
          <w:p w14:paraId="0897FD9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Supporting Evidence</w:t>
            </w:r>
          </w:p>
        </w:tc>
      </w:tr>
      <w:tr w:rsidR="00C76574" w:rsidRPr="00C76574" w14:paraId="1E209835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109C8369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lastRenderedPageBreak/>
              <w:t>Sequence generation</w:t>
            </w:r>
          </w:p>
        </w:tc>
        <w:tc>
          <w:tcPr>
            <w:tcW w:w="712" w:type="pct"/>
            <w:vAlign w:val="center"/>
          </w:tcPr>
          <w:p w14:paraId="5F6A11E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033EDFE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“typically using 3–4 slices from each brain; each experimental paradigm was conducted on at least 3 different mice”</w:t>
            </w:r>
          </w:p>
        </w:tc>
      </w:tr>
      <w:tr w:rsidR="00C76574" w:rsidRPr="00C76574" w14:paraId="1ED83188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637BE353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Baseline characteristics</w:t>
            </w:r>
          </w:p>
        </w:tc>
        <w:tc>
          <w:tcPr>
            <w:tcW w:w="712" w:type="pct"/>
            <w:vAlign w:val="center"/>
          </w:tcPr>
          <w:p w14:paraId="22CCCF3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2636C96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Only reported the age and sex of mice, without comparing baseline indicators between groups: adult male roGFP mice... average age was 5.8 ± 2.9 months</w:t>
            </w:r>
          </w:p>
        </w:tc>
      </w:tr>
      <w:tr w:rsidR="00C76574" w:rsidRPr="00C76574" w14:paraId="73FCDE65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66F0F716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Allocation concealment</w:t>
            </w:r>
          </w:p>
        </w:tc>
        <w:tc>
          <w:tcPr>
            <w:tcW w:w="712" w:type="pct"/>
            <w:vAlign w:val="center"/>
          </w:tcPr>
          <w:p w14:paraId="4543E82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592ED060" w14:textId="77777777" w:rsidR="00ED6FE0" w:rsidRPr="00C76574" w:rsidRDefault="00C73DED">
            <w:pPr>
              <w:tabs>
                <w:tab w:val="left" w:pos="1102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1B486FF8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6ECBBA2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housing</w:t>
            </w:r>
          </w:p>
        </w:tc>
        <w:tc>
          <w:tcPr>
            <w:tcW w:w="712" w:type="pct"/>
            <w:vAlign w:val="center"/>
          </w:tcPr>
          <w:p w14:paraId="02E701E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7340E2C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sections were processed under identical conditions: “submerged in a storage chamber with oxygenated regular ACSF”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“heated to 35.5–36.0 ℃ and constantly supplied with fresh oxygenated ACSF”</w:t>
            </w:r>
          </w:p>
        </w:tc>
      </w:tr>
      <w:tr w:rsidR="00C76574" w:rsidRPr="00C76574" w14:paraId="61B2725C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4FC43C0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Performance bias</w:t>
            </w:r>
          </w:p>
        </w:tc>
        <w:tc>
          <w:tcPr>
            <w:tcW w:w="712" w:type="pct"/>
            <w:vAlign w:val="center"/>
          </w:tcPr>
          <w:p w14:paraId="1CC0019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0D0A5D8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104A23B3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15DA125C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Blinding outcome assessment</w:t>
            </w:r>
          </w:p>
        </w:tc>
        <w:tc>
          <w:tcPr>
            <w:tcW w:w="712" w:type="pct"/>
            <w:vAlign w:val="center"/>
          </w:tcPr>
          <w:p w14:paraId="69FF0C3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78848E0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“ROIs (~20 × 40 μm) near the recording electrode”</w:t>
            </w:r>
          </w:p>
        </w:tc>
      </w:tr>
      <w:tr w:rsidR="00C76574" w:rsidRPr="00C76574" w14:paraId="3B94DFC0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07484C7E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Detection bias</w:t>
            </w:r>
          </w:p>
        </w:tc>
        <w:tc>
          <w:tcPr>
            <w:tcW w:w="712" w:type="pct"/>
            <w:vAlign w:val="center"/>
          </w:tcPr>
          <w:p w14:paraId="7BAB35A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7236CE4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5584482E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59588DC2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Incomplete outcome data</w:t>
            </w:r>
          </w:p>
        </w:tc>
        <w:tc>
          <w:tcPr>
            <w:tcW w:w="712" w:type="pct"/>
            <w:vAlign w:val="center"/>
          </w:tcPr>
          <w:p w14:paraId="3543307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6DA7B2D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Complete sample size reported for all experiments with no missing data: only those slices were included... which presented reasonable optical and electrophysiological data</w:t>
            </w:r>
          </w:p>
        </w:tc>
      </w:tr>
      <w:tr w:rsidR="00C76574" w:rsidRPr="00C76574" w14:paraId="0674F494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ED1EC8B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Selective outcome reporting</w:t>
            </w:r>
          </w:p>
        </w:tc>
        <w:tc>
          <w:tcPr>
            <w:tcW w:w="712" w:type="pct"/>
            <w:vAlign w:val="center"/>
          </w:tcPr>
          <w:p w14:paraId="666C768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6A0CC1D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predefined primary outcomes were fully reported: “We analyzed SD-related ROS production... induced by K⁺ microinjection, O₂ withdrawal or mitochondrial uncoupling”</w:t>
            </w:r>
          </w:p>
        </w:tc>
      </w:tr>
      <w:tr w:rsidR="00ED6FE0" w:rsidRPr="00C76574" w14:paraId="67B3A3D2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FD79055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Other sources of bias</w:t>
            </w:r>
          </w:p>
        </w:tc>
        <w:tc>
          <w:tcPr>
            <w:tcW w:w="712" w:type="pct"/>
            <w:vAlign w:val="center"/>
          </w:tcPr>
          <w:p w14:paraId="1BC8DA0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03622860" w14:textId="77777777" w:rsidR="00ED6FE0" w:rsidRPr="00C76574" w:rsidRDefault="00C73DED">
            <w:pPr>
              <w:tabs>
                <w:tab w:val="left" w:pos="907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shows no evidence of contamination, funder influence, or unit-of-analysis errors.</w:t>
            </w:r>
          </w:p>
        </w:tc>
      </w:tr>
    </w:tbl>
    <w:p w14:paraId="71A08AEC" w14:textId="77777777" w:rsidR="00ED6FE0" w:rsidRPr="00C76574" w:rsidRDefault="00ED6FE0">
      <w:pPr>
        <w:ind w:firstLine="420"/>
      </w:pPr>
    </w:p>
    <w:p w14:paraId="36FE858F" w14:textId="77777777" w:rsidR="00ED6FE0" w:rsidRPr="00C76574" w:rsidRDefault="00ED6FE0">
      <w:pPr>
        <w:ind w:firstLine="420"/>
      </w:pPr>
    </w:p>
    <w:p w14:paraId="5D56824F" w14:textId="3226E5B9" w:rsidR="00ED6FE0" w:rsidRPr="00C76574" w:rsidRDefault="00C73DED">
      <w:pPr>
        <w:pStyle w:val="afa"/>
      </w:pPr>
      <w:r w:rsidRPr="00C76574">
        <w:t xml:space="preserve">Grinberg YY </w:t>
      </w:r>
      <w:r w:rsidRPr="00C76574">
        <w:rPr>
          <w:rFonts w:eastAsiaTheme="minorEastAsia"/>
          <w:i/>
          <w:iCs/>
        </w:rPr>
        <w:t>et al</w:t>
      </w:r>
      <w:r w:rsidRPr="00C76574">
        <w:rPr>
          <w:rFonts w:eastAsiaTheme="minorEastAsia"/>
        </w:rPr>
        <w:t xml:space="preserve">. </w:t>
      </w:r>
      <w:r w:rsidRPr="00C76574">
        <w:t>[</w:t>
      </w:r>
      <w:r w:rsidRPr="00C76574">
        <w:rPr>
          <w:rFonts w:eastAsia="宋体"/>
        </w:rPr>
        <w:t>28</w:t>
      </w:r>
      <w:r w:rsidRPr="00C76574">
        <w:t>] (2012)</w:t>
      </w: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2114"/>
        <w:gridCol w:w="9720"/>
      </w:tblGrid>
      <w:tr w:rsidR="00C76574" w:rsidRPr="00C76574" w14:paraId="2A315815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3D18E47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Evaluation Item</w:t>
            </w:r>
          </w:p>
        </w:tc>
        <w:tc>
          <w:tcPr>
            <w:tcW w:w="712" w:type="pct"/>
            <w:vAlign w:val="center"/>
          </w:tcPr>
          <w:p w14:paraId="594C0AB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Risk Assessment</w:t>
            </w:r>
          </w:p>
        </w:tc>
        <w:tc>
          <w:tcPr>
            <w:tcW w:w="3274" w:type="pct"/>
            <w:vAlign w:val="center"/>
          </w:tcPr>
          <w:p w14:paraId="5543EEE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Supporting Evidence</w:t>
            </w:r>
          </w:p>
        </w:tc>
      </w:tr>
      <w:tr w:rsidR="00C76574" w:rsidRPr="00C76574" w14:paraId="48B940AF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20CE5A3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Sequence generation</w:t>
            </w:r>
          </w:p>
        </w:tc>
        <w:tc>
          <w:tcPr>
            <w:tcW w:w="712" w:type="pct"/>
            <w:vAlign w:val="center"/>
          </w:tcPr>
          <w:p w14:paraId="03D2670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39C8001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“slice cultures were prepared from nine day old male or female pups of Wistar rats”</w:t>
            </w:r>
          </w:p>
        </w:tc>
      </w:tr>
      <w:tr w:rsidR="00C76574" w:rsidRPr="00C76574" w14:paraId="70CBBE8C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05F365D9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Baseline characteristics</w:t>
            </w:r>
          </w:p>
        </w:tc>
        <w:tc>
          <w:tcPr>
            <w:tcW w:w="712" w:type="pct"/>
            <w:vAlign w:val="center"/>
          </w:tcPr>
          <w:p w14:paraId="6596FB5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6C360E3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Uniform baseline conditions: prepared from nine day old male or female pups of Wistar rats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AND Slices with CA3 field post-synaptic potential responses &gt;3 mV... were used”</w:t>
            </w:r>
          </w:p>
        </w:tc>
      </w:tr>
      <w:tr w:rsidR="00C76574" w:rsidRPr="00C76574" w14:paraId="3292F07B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535A0329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Allocation concealment</w:t>
            </w:r>
          </w:p>
        </w:tc>
        <w:tc>
          <w:tcPr>
            <w:tcW w:w="712" w:type="pct"/>
            <w:vAlign w:val="center"/>
          </w:tcPr>
          <w:p w14:paraId="3F3810F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64EEA73E" w14:textId="77777777" w:rsidR="00ED6FE0" w:rsidRPr="00C76574" w:rsidRDefault="00C73DED">
            <w:pPr>
              <w:tabs>
                <w:tab w:val="left" w:pos="1102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3F71DDB8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A207B4B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housing</w:t>
            </w:r>
          </w:p>
        </w:tc>
        <w:tc>
          <w:tcPr>
            <w:tcW w:w="712" w:type="pct"/>
            <w:vAlign w:val="center"/>
          </w:tcPr>
          <w:p w14:paraId="5B26D99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7C756A0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Uniform baseline conditions: “slice cultures were maintained in serum-free media”</w:t>
            </w:r>
          </w:p>
        </w:tc>
      </w:tr>
      <w:tr w:rsidR="00C76574" w:rsidRPr="00C76574" w14:paraId="095BB8C2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0E53BED4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Performance bias</w:t>
            </w:r>
          </w:p>
        </w:tc>
        <w:tc>
          <w:tcPr>
            <w:tcW w:w="712" w:type="pct"/>
            <w:vAlign w:val="center"/>
          </w:tcPr>
          <w:p w14:paraId="3DCC7C7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68CFDCE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7FD77E60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1ECBAE97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Blinding outcome assessment</w:t>
            </w:r>
          </w:p>
        </w:tc>
        <w:tc>
          <w:tcPr>
            <w:tcW w:w="712" w:type="pct"/>
            <w:vAlign w:val="center"/>
          </w:tcPr>
          <w:p w14:paraId="06F58E9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156C892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4A40CD3E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091832D2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Detection bias</w:t>
            </w:r>
          </w:p>
        </w:tc>
        <w:tc>
          <w:tcPr>
            <w:tcW w:w="712" w:type="pct"/>
            <w:vAlign w:val="center"/>
          </w:tcPr>
          <w:p w14:paraId="0062653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59D1373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5DDF6F22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330EA096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Incomplete outcome data</w:t>
            </w:r>
          </w:p>
        </w:tc>
        <w:tc>
          <w:tcPr>
            <w:tcW w:w="712" w:type="pct"/>
            <w:vAlign w:val="center"/>
          </w:tcPr>
          <w:p w14:paraId="533364E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75B28D3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Complete sample size reported for all experiments with no missing data: “Fig. 1: n = 6–11</w:t>
            </w:r>
            <w:r w:rsidRPr="00C76574">
              <w:rPr>
                <w:rFonts w:ascii="Times New Roman" w:eastAsia="宋体" w:hAnsi="Times New Roman"/>
              </w:rPr>
              <w:t xml:space="preserve">; </w:t>
            </w:r>
            <w:r w:rsidRPr="00C76574">
              <w:rPr>
                <w:rFonts w:ascii="Times New Roman" w:hAnsi="Times New Roman"/>
              </w:rPr>
              <w:t>Fig. 2: n = 3–21”</w:t>
            </w:r>
          </w:p>
        </w:tc>
      </w:tr>
      <w:tr w:rsidR="00C76574" w:rsidRPr="00C76574" w14:paraId="3F2124EE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5FB75F90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lastRenderedPageBreak/>
              <w:t>Selective outcome reporting</w:t>
            </w:r>
          </w:p>
        </w:tc>
        <w:tc>
          <w:tcPr>
            <w:tcW w:w="712" w:type="pct"/>
            <w:vAlign w:val="center"/>
          </w:tcPr>
          <w:p w14:paraId="18DA0CF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002FA6D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predefined primary outcomes were fully reported: “We analyzed SD-related ROS production... induced by K⁺ microinjection, O₂ withdrawal or mitochondrial uncoupling”</w:t>
            </w:r>
          </w:p>
        </w:tc>
      </w:tr>
      <w:tr w:rsidR="00ED6FE0" w:rsidRPr="00C76574" w14:paraId="1E35E91C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7592A496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Other sources of bias</w:t>
            </w:r>
          </w:p>
        </w:tc>
        <w:tc>
          <w:tcPr>
            <w:tcW w:w="712" w:type="pct"/>
            <w:vAlign w:val="center"/>
          </w:tcPr>
          <w:p w14:paraId="15C10CD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2A15B7B8" w14:textId="77777777" w:rsidR="00ED6FE0" w:rsidRPr="00C76574" w:rsidRDefault="00C73DED">
            <w:pPr>
              <w:tabs>
                <w:tab w:val="left" w:pos="907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shows no evidence of contamination, funder influence, or unit-of-analysis errors.</w:t>
            </w:r>
          </w:p>
        </w:tc>
      </w:tr>
    </w:tbl>
    <w:p w14:paraId="153C93CB" w14:textId="77777777" w:rsidR="00ED6FE0" w:rsidRPr="00C76574" w:rsidRDefault="00ED6FE0">
      <w:pPr>
        <w:ind w:firstLine="420"/>
      </w:pPr>
    </w:p>
    <w:p w14:paraId="4FFE8433" w14:textId="77777777" w:rsidR="00ED6FE0" w:rsidRPr="00C76574" w:rsidRDefault="00ED6FE0">
      <w:pPr>
        <w:ind w:firstLine="420"/>
      </w:pPr>
    </w:p>
    <w:p w14:paraId="72226DDE" w14:textId="1947AD92" w:rsidR="00ED6FE0" w:rsidRPr="00C76574" w:rsidRDefault="00C73DED">
      <w:pPr>
        <w:pStyle w:val="afa"/>
      </w:pPr>
      <w:r w:rsidRPr="00C76574">
        <w:t xml:space="preserve">Won L </w:t>
      </w:r>
      <w:r w:rsidRPr="00C76574">
        <w:rPr>
          <w:rFonts w:eastAsiaTheme="minorEastAsia"/>
          <w:i/>
          <w:iCs/>
        </w:rPr>
        <w:t>et al</w:t>
      </w:r>
      <w:r w:rsidRPr="00C76574">
        <w:rPr>
          <w:rFonts w:eastAsiaTheme="minorEastAsia"/>
        </w:rPr>
        <w:t xml:space="preserve">. </w:t>
      </w:r>
      <w:r w:rsidRPr="00C76574">
        <w:t>[</w:t>
      </w:r>
      <w:r w:rsidRPr="00C76574">
        <w:rPr>
          <w:rFonts w:eastAsia="宋体"/>
        </w:rPr>
        <w:t>29</w:t>
      </w:r>
      <w:r w:rsidRPr="00C76574">
        <w:t>] (2020)</w:t>
      </w: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2114"/>
        <w:gridCol w:w="9720"/>
      </w:tblGrid>
      <w:tr w:rsidR="00C76574" w:rsidRPr="00C76574" w14:paraId="7BC1D00B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32F0ED64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Evaluation Item</w:t>
            </w:r>
          </w:p>
        </w:tc>
        <w:tc>
          <w:tcPr>
            <w:tcW w:w="712" w:type="pct"/>
            <w:vAlign w:val="center"/>
          </w:tcPr>
          <w:p w14:paraId="5FCFDB0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Risk Assessment</w:t>
            </w:r>
          </w:p>
        </w:tc>
        <w:tc>
          <w:tcPr>
            <w:tcW w:w="3274" w:type="pct"/>
            <w:vAlign w:val="center"/>
          </w:tcPr>
          <w:p w14:paraId="4411D91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Supporting Evidence</w:t>
            </w:r>
          </w:p>
        </w:tc>
      </w:tr>
      <w:tr w:rsidR="00C76574" w:rsidRPr="00C76574" w14:paraId="1843D3CA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555738E5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Sequence generation</w:t>
            </w:r>
          </w:p>
        </w:tc>
        <w:tc>
          <w:tcPr>
            <w:tcW w:w="712" w:type="pct"/>
            <w:vAlign w:val="center"/>
          </w:tcPr>
          <w:p w14:paraId="0E2E8F9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 risk</w:t>
            </w:r>
          </w:p>
        </w:tc>
        <w:tc>
          <w:tcPr>
            <w:tcW w:w="3274" w:type="pct"/>
            <w:vAlign w:val="center"/>
          </w:tcPr>
          <w:p w14:paraId="2B4885D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“Stated group allocation only, but method of random sequence generation not described: Rats were randomly divided into control and experimental groups”</w:t>
            </w:r>
          </w:p>
        </w:tc>
      </w:tr>
      <w:tr w:rsidR="00C76574" w:rsidRPr="00C76574" w14:paraId="119D4DD9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7D20ACD1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Baseline characteristics</w:t>
            </w:r>
          </w:p>
        </w:tc>
        <w:tc>
          <w:tcPr>
            <w:tcW w:w="712" w:type="pct"/>
            <w:vAlign w:val="center"/>
          </w:tcPr>
          <w:p w14:paraId="6992D63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41310BC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“Failed to formally compare inter-group baseline differences or perform statistical adjustments: Adult (250–450 g) male Wistar rats (n = 90 total)” and “All treatments and data analyses were completed under blinded conditions.”</w:t>
            </w:r>
          </w:p>
        </w:tc>
      </w:tr>
      <w:tr w:rsidR="00C76574" w:rsidRPr="00C76574" w14:paraId="5AF04D0E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5AC04A08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Allocation concealment</w:t>
            </w:r>
          </w:p>
        </w:tc>
        <w:tc>
          <w:tcPr>
            <w:tcW w:w="712" w:type="pct"/>
            <w:vAlign w:val="center"/>
          </w:tcPr>
          <w:p w14:paraId="1DE50AB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 risk</w:t>
            </w:r>
          </w:p>
        </w:tc>
        <w:tc>
          <w:tcPr>
            <w:tcW w:w="3274" w:type="pct"/>
            <w:vAlign w:val="center"/>
          </w:tcPr>
          <w:p w14:paraId="76D816D1" w14:textId="77777777" w:rsidR="00ED6FE0" w:rsidRPr="00C76574" w:rsidRDefault="00C73DED">
            <w:pPr>
              <w:tabs>
                <w:tab w:val="left" w:pos="1102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323922FE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4FC8F91D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housing</w:t>
            </w:r>
          </w:p>
        </w:tc>
        <w:tc>
          <w:tcPr>
            <w:tcW w:w="712" w:type="pct"/>
            <w:vAlign w:val="center"/>
          </w:tcPr>
          <w:p w14:paraId="6C099E0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47FF8FB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Uniform baseline conditions: “Housing included use of static micro isolator cages... maintained in a 12-hour light-dark cycle with controlled humidity and temperature”</w:t>
            </w:r>
          </w:p>
        </w:tc>
      </w:tr>
      <w:tr w:rsidR="00C76574" w:rsidRPr="00C76574" w14:paraId="732164AE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55003700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Performance bias</w:t>
            </w:r>
          </w:p>
        </w:tc>
        <w:tc>
          <w:tcPr>
            <w:tcW w:w="712" w:type="pct"/>
            <w:vAlign w:val="center"/>
          </w:tcPr>
          <w:p w14:paraId="044AD4D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45D40DC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c-fos labeled nuclei were manually counted by an observer blinded to experimental conditions.”</w:t>
            </w:r>
          </w:p>
        </w:tc>
      </w:tr>
      <w:tr w:rsidR="00C76574" w:rsidRPr="00C76574" w14:paraId="4BC38164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63205BCC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Blinding outcome assessment</w:t>
            </w:r>
          </w:p>
        </w:tc>
        <w:tc>
          <w:tcPr>
            <w:tcW w:w="712" w:type="pct"/>
            <w:vAlign w:val="center"/>
          </w:tcPr>
          <w:p w14:paraId="6B6E933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0C12E40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“All treatments and data analyses were completed under blinded conditions.</w:t>
            </w:r>
          </w:p>
        </w:tc>
      </w:tr>
      <w:tr w:rsidR="00C76574" w:rsidRPr="00C76574" w14:paraId="45465AC2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2647BBC9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Detection bias</w:t>
            </w:r>
          </w:p>
        </w:tc>
        <w:tc>
          <w:tcPr>
            <w:tcW w:w="712" w:type="pct"/>
            <w:vAlign w:val="center"/>
          </w:tcPr>
          <w:p w14:paraId="28FBDB6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611D8A0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imaging was performed ... under blinded conditions” AND “c-fos labeled nuclei were manually counted ... by an observer blinded to experimental conditions</w:t>
            </w:r>
          </w:p>
        </w:tc>
      </w:tr>
      <w:tr w:rsidR="00C76574" w:rsidRPr="00C76574" w14:paraId="4EA6D317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3714A13D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Incomplete outcome data</w:t>
            </w:r>
          </w:p>
        </w:tc>
        <w:tc>
          <w:tcPr>
            <w:tcW w:w="712" w:type="pct"/>
            <w:vAlign w:val="center"/>
          </w:tcPr>
          <w:p w14:paraId="2D7A760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4E0FC93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Complete sample size reported for all experiments with no missing data: “n = 5/group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n = 8/group at 0 hour”</w:t>
            </w:r>
          </w:p>
        </w:tc>
      </w:tr>
      <w:tr w:rsidR="00C76574" w:rsidRPr="00C76574" w14:paraId="4C6260EC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70FCF537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Selective outcome reporting</w:t>
            </w:r>
          </w:p>
        </w:tc>
        <w:tc>
          <w:tcPr>
            <w:tcW w:w="712" w:type="pct"/>
            <w:vAlign w:val="center"/>
          </w:tcPr>
          <w:p w14:paraId="3358335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59B6944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predefined primary outcomes were fully reported: “MDA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CGRP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c-fos...”</w:t>
            </w:r>
          </w:p>
        </w:tc>
      </w:tr>
      <w:tr w:rsidR="00ED6FE0" w:rsidRPr="00C76574" w14:paraId="7BCFCE13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752D195E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Other sources of bias</w:t>
            </w:r>
          </w:p>
        </w:tc>
        <w:tc>
          <w:tcPr>
            <w:tcW w:w="712" w:type="pct"/>
            <w:vAlign w:val="center"/>
          </w:tcPr>
          <w:p w14:paraId="5E3330F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6CEA83D1" w14:textId="77777777" w:rsidR="00ED6FE0" w:rsidRPr="00C76574" w:rsidRDefault="00C73DED">
            <w:pPr>
              <w:tabs>
                <w:tab w:val="left" w:pos="907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shows no evidence of contamination, funder influence, or unit-of-analysis errors.</w:t>
            </w:r>
          </w:p>
        </w:tc>
      </w:tr>
    </w:tbl>
    <w:p w14:paraId="6E21B77E" w14:textId="77777777" w:rsidR="00ED6FE0" w:rsidRPr="00C76574" w:rsidRDefault="00ED6FE0">
      <w:pPr>
        <w:ind w:firstLine="420"/>
      </w:pPr>
    </w:p>
    <w:p w14:paraId="1E896213" w14:textId="77777777" w:rsidR="00ED6FE0" w:rsidRPr="00C76574" w:rsidRDefault="00ED6FE0">
      <w:pPr>
        <w:ind w:firstLine="420"/>
      </w:pPr>
    </w:p>
    <w:p w14:paraId="17842BC7" w14:textId="6DDA78D4" w:rsidR="00ED6FE0" w:rsidRPr="00C76574" w:rsidRDefault="00C73DED">
      <w:pPr>
        <w:pStyle w:val="afa"/>
      </w:pPr>
      <w:r w:rsidRPr="00C76574">
        <w:t xml:space="preserve">Malkov A </w:t>
      </w:r>
      <w:r w:rsidRPr="00C76574">
        <w:rPr>
          <w:rFonts w:eastAsiaTheme="minorEastAsia"/>
          <w:i/>
          <w:iCs/>
        </w:rPr>
        <w:t>et al</w:t>
      </w:r>
      <w:r w:rsidRPr="00C76574">
        <w:rPr>
          <w:rFonts w:eastAsiaTheme="minorEastAsia"/>
        </w:rPr>
        <w:t xml:space="preserve">. </w:t>
      </w:r>
      <w:r w:rsidRPr="00C76574">
        <w:t>[</w:t>
      </w:r>
      <w:r w:rsidRPr="00C76574">
        <w:rPr>
          <w:rFonts w:eastAsia="宋体"/>
        </w:rPr>
        <w:t>14</w:t>
      </w:r>
      <w:r w:rsidRPr="00C76574">
        <w:t>] (2014)</w:t>
      </w: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2114"/>
        <w:gridCol w:w="9720"/>
      </w:tblGrid>
      <w:tr w:rsidR="00C76574" w:rsidRPr="00C76574" w14:paraId="42938A12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68191429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Evaluation Item</w:t>
            </w:r>
          </w:p>
        </w:tc>
        <w:tc>
          <w:tcPr>
            <w:tcW w:w="712" w:type="pct"/>
            <w:vAlign w:val="center"/>
          </w:tcPr>
          <w:p w14:paraId="2527521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Risk Assessment</w:t>
            </w:r>
          </w:p>
        </w:tc>
        <w:tc>
          <w:tcPr>
            <w:tcW w:w="3274" w:type="pct"/>
            <w:vAlign w:val="center"/>
          </w:tcPr>
          <w:p w14:paraId="70853D7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Supporting Evidence</w:t>
            </w:r>
          </w:p>
        </w:tc>
      </w:tr>
      <w:tr w:rsidR="00C76574" w:rsidRPr="00C76574" w14:paraId="44C3CCAD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3124A2FD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lastRenderedPageBreak/>
              <w:t>Sequence generation</w:t>
            </w:r>
          </w:p>
        </w:tc>
        <w:tc>
          <w:tcPr>
            <w:tcW w:w="712" w:type="pct"/>
            <w:vAlign w:val="center"/>
          </w:tcPr>
          <w:p w14:paraId="658DA49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05EF34A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“P21–P56 adult Swiss male mice”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“5 mature (&gt;P50) Swiss male mice”</w:t>
            </w:r>
          </w:p>
        </w:tc>
      </w:tr>
      <w:tr w:rsidR="00C76574" w:rsidRPr="00C76574" w14:paraId="5BF3BE20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268FD2CE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Baseline characteristics</w:t>
            </w:r>
          </w:p>
        </w:tc>
        <w:tc>
          <w:tcPr>
            <w:tcW w:w="712" w:type="pct"/>
            <w:vAlign w:val="center"/>
          </w:tcPr>
          <w:p w14:paraId="7696E70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1629C83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Uniform baseline conditions: “P21–P56 adult Swiss male mice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saggital slices (350 μm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recover for 2 hours”</w:t>
            </w:r>
          </w:p>
        </w:tc>
      </w:tr>
      <w:tr w:rsidR="00C76574" w:rsidRPr="00C76574" w14:paraId="5057B9AA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30D1B608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Allocation concealment</w:t>
            </w:r>
          </w:p>
        </w:tc>
        <w:tc>
          <w:tcPr>
            <w:tcW w:w="712" w:type="pct"/>
            <w:vAlign w:val="center"/>
          </w:tcPr>
          <w:p w14:paraId="784113A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739C5AE3" w14:textId="77777777" w:rsidR="00ED6FE0" w:rsidRPr="00C76574" w:rsidRDefault="00C73DED">
            <w:pPr>
              <w:tabs>
                <w:tab w:val="left" w:pos="1102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mentioned.</w:t>
            </w:r>
          </w:p>
        </w:tc>
      </w:tr>
      <w:tr w:rsidR="00C76574" w:rsidRPr="00C76574" w14:paraId="41BD3444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507A8AB2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housing</w:t>
            </w:r>
          </w:p>
        </w:tc>
        <w:tc>
          <w:tcPr>
            <w:tcW w:w="712" w:type="pct"/>
            <w:vAlign w:val="center"/>
          </w:tcPr>
          <w:p w14:paraId="0827A3A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73BD56F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Uniform baseline conditions: “slices recovered in continuously circulating ACSF”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“mice kept under saline to prevent drying”</w:t>
            </w:r>
          </w:p>
        </w:tc>
      </w:tr>
      <w:tr w:rsidR="00C76574" w:rsidRPr="00C76574" w14:paraId="475B82E1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128AF0F1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Performance bias</w:t>
            </w:r>
          </w:p>
        </w:tc>
        <w:tc>
          <w:tcPr>
            <w:tcW w:w="712" w:type="pct"/>
            <w:vAlign w:val="center"/>
          </w:tcPr>
          <w:p w14:paraId="774A180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7088B38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“Tempol injected into ventricles”</w:t>
            </w:r>
          </w:p>
        </w:tc>
      </w:tr>
      <w:tr w:rsidR="00C76574" w:rsidRPr="00C76574" w14:paraId="335568FF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1CB8C6EF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Blinding outcome assessment</w:t>
            </w:r>
          </w:p>
        </w:tc>
        <w:tc>
          <w:tcPr>
            <w:tcW w:w="712" w:type="pct"/>
            <w:vAlign w:val="center"/>
          </w:tcPr>
          <w:p w14:paraId="77B4867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639702D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“recorded using...amplifier”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“images acquired using camera”</w:t>
            </w:r>
          </w:p>
        </w:tc>
      </w:tr>
      <w:tr w:rsidR="00C76574" w:rsidRPr="00C76574" w14:paraId="12C3628F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6EA9C584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Detection bias</w:t>
            </w:r>
          </w:p>
        </w:tc>
        <w:tc>
          <w:tcPr>
            <w:tcW w:w="712" w:type="pct"/>
            <w:vAlign w:val="center"/>
          </w:tcPr>
          <w:p w14:paraId="020B52B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0770F06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“measured in three to five regions of interest”</w:t>
            </w:r>
          </w:p>
        </w:tc>
      </w:tr>
      <w:tr w:rsidR="00C76574" w:rsidRPr="00C76574" w14:paraId="6A79D42B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6CA8C8D3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Incomplete outcome data</w:t>
            </w:r>
          </w:p>
        </w:tc>
        <w:tc>
          <w:tcPr>
            <w:tcW w:w="712" w:type="pct"/>
            <w:vAlign w:val="center"/>
          </w:tcPr>
          <w:p w14:paraId="222D432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3D75C7AC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Complete sample size reported for all experiments with no missing data: “14 out of 40 experiments (35%)”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“irreversible in 7 out of 14”</w:t>
            </w:r>
          </w:p>
        </w:tc>
      </w:tr>
      <w:tr w:rsidR="00C76574" w:rsidRPr="00C76574" w14:paraId="7747DD70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5ECD68C9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Selective outcome reporting</w:t>
            </w:r>
          </w:p>
        </w:tc>
        <w:tc>
          <w:tcPr>
            <w:tcW w:w="712" w:type="pct"/>
            <w:vAlign w:val="center"/>
          </w:tcPr>
          <w:p w14:paraId="0939C7D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08B3DD9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predefined primary outcomes were fully reported: All preset indicators (electrophysiological, metabolic, ROS fluorescence signals) were reported. Supplementary data (</w:t>
            </w:r>
            <w:r w:rsidRPr="00C76574">
              <w:rPr>
                <w:rFonts w:ascii="Times New Roman" w:hAnsi="Times New Roman"/>
                <w:b/>
                <w:bCs/>
              </w:rPr>
              <w:t>Supplementary Figs. 1,2,3</w:t>
            </w:r>
            <w:r w:rsidRPr="00C76574">
              <w:rPr>
                <w:rFonts w:ascii="Times New Roman" w:hAnsi="Times New Roman"/>
              </w:rPr>
              <w:t>) were mentioned but not shown in the main text, as is conventional.</w:t>
            </w:r>
          </w:p>
        </w:tc>
      </w:tr>
      <w:tr w:rsidR="00ED6FE0" w:rsidRPr="00C76574" w14:paraId="2645D5FD" w14:textId="77777777">
        <w:trPr>
          <w:trHeight w:val="170"/>
          <w:jc w:val="center"/>
        </w:trPr>
        <w:tc>
          <w:tcPr>
            <w:tcW w:w="1014" w:type="pct"/>
            <w:vAlign w:val="center"/>
          </w:tcPr>
          <w:p w14:paraId="1B0702C2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Other sources of bias</w:t>
            </w:r>
          </w:p>
        </w:tc>
        <w:tc>
          <w:tcPr>
            <w:tcW w:w="712" w:type="pct"/>
            <w:vAlign w:val="center"/>
          </w:tcPr>
          <w:p w14:paraId="770183B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10263ED9" w14:textId="77777777" w:rsidR="00ED6FE0" w:rsidRPr="00C76574" w:rsidRDefault="00C73DED">
            <w:pPr>
              <w:tabs>
                <w:tab w:val="left" w:pos="907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shows no evidence of contamination, funder influence, or unit-of-analysis errors.</w:t>
            </w:r>
          </w:p>
        </w:tc>
      </w:tr>
    </w:tbl>
    <w:p w14:paraId="602F0581" w14:textId="77777777" w:rsidR="00ED6FE0" w:rsidRPr="00C76574" w:rsidRDefault="00ED6FE0">
      <w:pPr>
        <w:ind w:firstLine="420"/>
      </w:pPr>
    </w:p>
    <w:p w14:paraId="06F3015B" w14:textId="77777777" w:rsidR="00ED6FE0" w:rsidRPr="00C76574" w:rsidRDefault="00ED6FE0">
      <w:pPr>
        <w:ind w:firstLine="420"/>
      </w:pPr>
    </w:p>
    <w:p w14:paraId="3387AB38" w14:textId="56FA6265" w:rsidR="00ED6FE0" w:rsidRPr="00C76574" w:rsidRDefault="00C73DED">
      <w:pPr>
        <w:pStyle w:val="afa"/>
      </w:pPr>
      <w:r w:rsidRPr="00C76574">
        <w:t xml:space="preserve">Viggiano A </w:t>
      </w:r>
      <w:r w:rsidRPr="00C76574">
        <w:rPr>
          <w:rFonts w:eastAsiaTheme="minorEastAsia"/>
          <w:i/>
          <w:iCs/>
        </w:rPr>
        <w:t>et al</w:t>
      </w:r>
      <w:r w:rsidRPr="00C76574">
        <w:rPr>
          <w:rFonts w:eastAsiaTheme="minorEastAsia"/>
        </w:rPr>
        <w:t xml:space="preserve">. </w:t>
      </w:r>
      <w:r w:rsidRPr="00C76574">
        <w:t>[</w:t>
      </w:r>
      <w:r w:rsidRPr="00C76574">
        <w:rPr>
          <w:rFonts w:eastAsia="宋体"/>
        </w:rPr>
        <w:t>3</w:t>
      </w:r>
      <w:r w:rsidR="00AF6A7D">
        <w:rPr>
          <w:rFonts w:eastAsia="宋体"/>
        </w:rPr>
        <w:t>0</w:t>
      </w:r>
      <w:r w:rsidRPr="00C76574">
        <w:t>] (2011)</w:t>
      </w: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2114"/>
        <w:gridCol w:w="9720"/>
      </w:tblGrid>
      <w:tr w:rsidR="00C76574" w:rsidRPr="00C76574" w14:paraId="02299802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A9BBE94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Evaluation Item</w:t>
            </w:r>
          </w:p>
        </w:tc>
        <w:tc>
          <w:tcPr>
            <w:tcW w:w="712" w:type="pct"/>
            <w:vAlign w:val="center"/>
          </w:tcPr>
          <w:p w14:paraId="53EAFEE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Risk Assessment</w:t>
            </w:r>
          </w:p>
        </w:tc>
        <w:tc>
          <w:tcPr>
            <w:tcW w:w="3274" w:type="pct"/>
            <w:vAlign w:val="center"/>
          </w:tcPr>
          <w:p w14:paraId="79425E5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Supporting Evidence</w:t>
            </w:r>
          </w:p>
        </w:tc>
      </w:tr>
      <w:tr w:rsidR="00C76574" w:rsidRPr="00C76574" w14:paraId="3937F69C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10B92FF7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Sequence generation</w:t>
            </w:r>
          </w:p>
        </w:tc>
        <w:tc>
          <w:tcPr>
            <w:tcW w:w="712" w:type="pct"/>
            <w:vAlign w:val="center"/>
          </w:tcPr>
          <w:p w14:paraId="2B71C2C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464AA8B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“Rats were divided in the following groups: group 1 (5 rats)... group 2 (5 rats)... group 3 (5 rats)”</w:t>
            </w:r>
          </w:p>
        </w:tc>
      </w:tr>
      <w:tr w:rsidR="00C76574" w:rsidRPr="00C76574" w14:paraId="615FC468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32FC8EFF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Baseline characteristics</w:t>
            </w:r>
          </w:p>
        </w:tc>
        <w:tc>
          <w:tcPr>
            <w:tcW w:w="712" w:type="pct"/>
            <w:vAlign w:val="center"/>
          </w:tcPr>
          <w:p w14:paraId="1E069BB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7E8F7A9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Uniform baseline conditions: “male Sprague-Dawley rats (250–300 g)... housed in pairs at controlled temperature (22 ± 1 ℃), and humidity (70%) with 12:12 h light-dark cycle”</w:t>
            </w:r>
          </w:p>
        </w:tc>
      </w:tr>
      <w:tr w:rsidR="00C76574" w:rsidRPr="00C76574" w14:paraId="7EBEA41E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31FEAEDC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Allocation concealment</w:t>
            </w:r>
          </w:p>
        </w:tc>
        <w:tc>
          <w:tcPr>
            <w:tcW w:w="712" w:type="pct"/>
            <w:vAlign w:val="center"/>
          </w:tcPr>
          <w:p w14:paraId="1287090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61727350" w14:textId="77777777" w:rsidR="00ED6FE0" w:rsidRPr="00C76574" w:rsidRDefault="00C73DED">
            <w:pPr>
              <w:tabs>
                <w:tab w:val="left" w:pos="1102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“Rats were divided...”</w:t>
            </w:r>
          </w:p>
        </w:tc>
      </w:tr>
      <w:tr w:rsidR="00C76574" w:rsidRPr="00C76574" w14:paraId="384A46AD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72AB0DDA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housing</w:t>
            </w:r>
          </w:p>
        </w:tc>
        <w:tc>
          <w:tcPr>
            <w:tcW w:w="712" w:type="pct"/>
            <w:vAlign w:val="center"/>
          </w:tcPr>
          <w:p w14:paraId="273F673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4668A9E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Uniform baseline conditions: “housed in pairs at controlled temperature (22 ± 1 ℃)... 12:12 h light-dark cycle”</w:t>
            </w:r>
          </w:p>
        </w:tc>
      </w:tr>
      <w:tr w:rsidR="00C76574" w:rsidRPr="00C76574" w14:paraId="010F7F10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14863331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Performance bias</w:t>
            </w:r>
          </w:p>
        </w:tc>
        <w:tc>
          <w:tcPr>
            <w:tcW w:w="712" w:type="pct"/>
            <w:vAlign w:val="center"/>
          </w:tcPr>
          <w:p w14:paraId="7B66983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29E9954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“KCl was applied... DHE injected... animals sacrificed”</w:t>
            </w:r>
          </w:p>
        </w:tc>
      </w:tr>
      <w:tr w:rsidR="00C76574" w:rsidRPr="00C76574" w14:paraId="2653F0F7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4A8A2EE0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Blinding outcome assessment</w:t>
            </w:r>
          </w:p>
        </w:tc>
        <w:tc>
          <w:tcPr>
            <w:tcW w:w="712" w:type="pct"/>
            <w:vAlign w:val="center"/>
          </w:tcPr>
          <w:p w14:paraId="32352BB5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3CDA860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“Three sections were uniformly randomly sampled”</w:t>
            </w:r>
          </w:p>
        </w:tc>
      </w:tr>
      <w:tr w:rsidR="00C76574" w:rsidRPr="00C76574" w14:paraId="680A08ED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7D4FFF54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Detection bias</w:t>
            </w:r>
          </w:p>
        </w:tc>
        <w:tc>
          <w:tcPr>
            <w:tcW w:w="712" w:type="pct"/>
            <w:vAlign w:val="center"/>
          </w:tcPr>
          <w:p w14:paraId="0103444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755F674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</w:t>
            </w:r>
          </w:p>
        </w:tc>
      </w:tr>
      <w:tr w:rsidR="00C76574" w:rsidRPr="00C76574" w14:paraId="46F74038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64055452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Incomplete outcome data</w:t>
            </w:r>
          </w:p>
        </w:tc>
        <w:tc>
          <w:tcPr>
            <w:tcW w:w="712" w:type="pct"/>
            <w:vAlign w:val="center"/>
          </w:tcPr>
          <w:p w14:paraId="3B80C10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557A115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Complete sample size reported for all experiments with no missing data</w:t>
            </w:r>
            <w:r w:rsidRPr="00C76574">
              <w:rPr>
                <w:rFonts w:ascii="Times New Roman" w:eastAsia="宋体" w:hAnsi="Times New Roman"/>
              </w:rPr>
              <w:t xml:space="preserve">: </w:t>
            </w:r>
            <w:r w:rsidRPr="00C76574">
              <w:rPr>
                <w:rFonts w:ascii="Times New Roman" w:hAnsi="Times New Roman"/>
              </w:rPr>
              <w:t xml:space="preserve">“Group 1 (5 rats)... Group 2 (5 rats)... </w:t>
            </w:r>
            <w:r w:rsidRPr="00C76574">
              <w:rPr>
                <w:rFonts w:ascii="Times New Roman" w:hAnsi="Times New Roman"/>
              </w:rPr>
              <w:lastRenderedPageBreak/>
              <w:t>Group 3 (5 rats)”</w:t>
            </w:r>
          </w:p>
        </w:tc>
      </w:tr>
      <w:tr w:rsidR="00C76574" w:rsidRPr="00C76574" w14:paraId="62B5AB54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16677E7C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lastRenderedPageBreak/>
              <w:t>Selective outcome reporting</w:t>
            </w:r>
          </w:p>
        </w:tc>
        <w:tc>
          <w:tcPr>
            <w:tcW w:w="712" w:type="pct"/>
            <w:vAlign w:val="center"/>
          </w:tcPr>
          <w:p w14:paraId="1B6C223B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1E69FA5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predefined primary outcomes were fully reported: “O₂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H₂O₂</w:t>
            </w:r>
            <w:r w:rsidRPr="00C76574">
              <w:rPr>
                <w:rFonts w:ascii="Times New Roman" w:eastAsia="宋体" w:hAnsi="Times New Roman"/>
              </w:rPr>
              <w:t xml:space="preserve">, </w:t>
            </w:r>
            <w:r w:rsidRPr="00C76574">
              <w:rPr>
                <w:rFonts w:ascii="Times New Roman" w:hAnsi="Times New Roman"/>
              </w:rPr>
              <w:t>SOD...”</w:t>
            </w:r>
          </w:p>
        </w:tc>
      </w:tr>
      <w:tr w:rsidR="00ED6FE0" w:rsidRPr="00C76574" w14:paraId="6B227BC5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6E7A998B" w14:textId="77777777" w:rsidR="00ED6FE0" w:rsidRPr="00C76574" w:rsidRDefault="00C73DED">
            <w:pPr>
              <w:ind w:firstLineChars="0" w:firstLine="0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Other sources of bias</w:t>
            </w:r>
          </w:p>
        </w:tc>
        <w:tc>
          <w:tcPr>
            <w:tcW w:w="712" w:type="pct"/>
            <w:vAlign w:val="center"/>
          </w:tcPr>
          <w:p w14:paraId="7061562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61328B9A" w14:textId="77777777" w:rsidR="00ED6FE0" w:rsidRPr="00C76574" w:rsidRDefault="00C73DED">
            <w:pPr>
              <w:tabs>
                <w:tab w:val="left" w:pos="907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shows no evidence of contamination, funder influence, or unit-of-analysis errors.</w:t>
            </w:r>
          </w:p>
        </w:tc>
      </w:tr>
    </w:tbl>
    <w:p w14:paraId="24F312D4" w14:textId="77777777" w:rsidR="00ED6FE0" w:rsidRPr="00C76574" w:rsidRDefault="00ED6FE0">
      <w:pPr>
        <w:ind w:firstLine="420"/>
      </w:pPr>
    </w:p>
    <w:p w14:paraId="1C2615FA" w14:textId="77777777" w:rsidR="00ED6FE0" w:rsidRPr="00C76574" w:rsidRDefault="00ED6FE0">
      <w:pPr>
        <w:ind w:firstLine="420"/>
      </w:pPr>
    </w:p>
    <w:p w14:paraId="7C25CBD1" w14:textId="609E9A51" w:rsidR="00ED6FE0" w:rsidRPr="00C76574" w:rsidRDefault="00C73DED">
      <w:pPr>
        <w:pStyle w:val="afa"/>
      </w:pPr>
      <w:r w:rsidRPr="00C76574">
        <w:t xml:space="preserve">Shatillo A </w:t>
      </w:r>
      <w:r w:rsidRPr="00C76574">
        <w:rPr>
          <w:rFonts w:eastAsiaTheme="minorEastAsia"/>
          <w:i/>
          <w:iCs/>
        </w:rPr>
        <w:t>et al</w:t>
      </w:r>
      <w:r w:rsidRPr="00C76574">
        <w:rPr>
          <w:rFonts w:eastAsiaTheme="minorEastAsia"/>
        </w:rPr>
        <w:t xml:space="preserve">. </w:t>
      </w:r>
      <w:r w:rsidRPr="00C76574">
        <w:t>[</w:t>
      </w:r>
      <w:r w:rsidRPr="00C76574">
        <w:rPr>
          <w:rFonts w:eastAsia="宋体"/>
        </w:rPr>
        <w:t>3</w:t>
      </w:r>
      <w:r w:rsidR="00AF6A7D">
        <w:rPr>
          <w:rFonts w:eastAsia="宋体"/>
        </w:rPr>
        <w:t>1</w:t>
      </w:r>
      <w:r w:rsidRPr="00C76574">
        <w:t>] (2013)</w:t>
      </w: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2114"/>
        <w:gridCol w:w="9720"/>
      </w:tblGrid>
      <w:tr w:rsidR="00C76574" w:rsidRPr="00C76574" w14:paraId="05651EEB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64392CDA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bookmarkStart w:id="3" w:name="_Hlk201931663"/>
            <w:r w:rsidRPr="00C76574">
              <w:rPr>
                <w:rFonts w:ascii="Times New Roman" w:hAnsi="Times New Roman"/>
              </w:rPr>
              <w:t>Evaluation Item</w:t>
            </w:r>
          </w:p>
        </w:tc>
        <w:tc>
          <w:tcPr>
            <w:tcW w:w="712" w:type="pct"/>
            <w:vAlign w:val="center"/>
          </w:tcPr>
          <w:p w14:paraId="007AA561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Risk Assessment</w:t>
            </w:r>
          </w:p>
        </w:tc>
        <w:tc>
          <w:tcPr>
            <w:tcW w:w="3274" w:type="pct"/>
            <w:vAlign w:val="center"/>
          </w:tcPr>
          <w:p w14:paraId="7C27293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Supporting Evidence</w:t>
            </w:r>
          </w:p>
        </w:tc>
      </w:tr>
      <w:tr w:rsidR="00C76574" w:rsidRPr="00C76574" w14:paraId="20863C44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135FC6A9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Sequence generation</w:t>
            </w:r>
          </w:p>
        </w:tc>
        <w:tc>
          <w:tcPr>
            <w:tcW w:w="712" w:type="pct"/>
            <w:vAlign w:val="center"/>
          </w:tcPr>
          <w:p w14:paraId="5C54F817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eastAsia="微软雅黑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42BE7B1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“Wistar rats (6 weeks old, weighing 133–177 g) were used. Only mentions animal usage without specifying randomization methods for group allocation.”</w:t>
            </w:r>
          </w:p>
        </w:tc>
      </w:tr>
      <w:tr w:rsidR="00C76574" w:rsidRPr="00C76574" w14:paraId="4F6B68AA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58C2B4AC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Baseline characteristics</w:t>
            </w:r>
          </w:p>
        </w:tc>
        <w:tc>
          <w:tcPr>
            <w:tcW w:w="712" w:type="pct"/>
            <w:vAlign w:val="center"/>
          </w:tcPr>
          <w:p w14:paraId="409A1EA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eastAsia="微软雅黑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7395A86E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“Wistar rats (6 weeks old, weighing 133–177 g). No inter-group comparison data (</w:t>
            </w:r>
            <w:r w:rsidRPr="00C76574">
              <w:rPr>
                <w:rFonts w:ascii="Times New Roman" w:hAnsi="Times New Roman"/>
                <w:i/>
                <w:iCs/>
              </w:rPr>
              <w:t>e.g.</w:t>
            </w:r>
            <w:r w:rsidRPr="00C76574">
              <w:rPr>
                <w:rFonts w:ascii="Times New Roman" w:hAnsi="Times New Roman"/>
              </w:rPr>
              <w:t>, weight, sex) provided”</w:t>
            </w:r>
          </w:p>
        </w:tc>
      </w:tr>
      <w:tr w:rsidR="00C76574" w:rsidRPr="00C76574" w14:paraId="42F35A91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669B2064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Allocation concealment</w:t>
            </w:r>
          </w:p>
        </w:tc>
        <w:tc>
          <w:tcPr>
            <w:tcW w:w="712" w:type="pct"/>
            <w:vAlign w:val="center"/>
          </w:tcPr>
          <w:p w14:paraId="683685FA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eastAsia="微软雅黑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0EBEA602" w14:textId="77777777" w:rsidR="00ED6FE0" w:rsidRPr="00C76574" w:rsidRDefault="00C73DED">
            <w:pPr>
              <w:tabs>
                <w:tab w:val="left" w:pos="1102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“Application of KCl to dura mater. No description of concealment methods (</w:t>
            </w:r>
            <w:r w:rsidRPr="00C76574">
              <w:rPr>
                <w:rFonts w:ascii="Times New Roman" w:hAnsi="Times New Roman"/>
                <w:i/>
                <w:iCs/>
              </w:rPr>
              <w:t>e.g.</w:t>
            </w:r>
            <w:r w:rsidRPr="00C76574">
              <w:rPr>
                <w:rFonts w:ascii="Times New Roman" w:hAnsi="Times New Roman"/>
              </w:rPr>
              <w:t>, sealed envelopes, coding systems) provided”</w:t>
            </w:r>
          </w:p>
        </w:tc>
      </w:tr>
      <w:tr w:rsidR="00C76574" w:rsidRPr="00C76574" w14:paraId="3398E31C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0CE63D3A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Random housing</w:t>
            </w:r>
          </w:p>
        </w:tc>
        <w:tc>
          <w:tcPr>
            <w:tcW w:w="712" w:type="pct"/>
            <w:vAlign w:val="center"/>
          </w:tcPr>
          <w:p w14:paraId="77C797A9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eastAsia="微软雅黑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3F12141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“continuously superfused with oxygenated Krebs control solution”</w:t>
            </w:r>
          </w:p>
        </w:tc>
      </w:tr>
      <w:tr w:rsidR="00C76574" w:rsidRPr="00C76574" w14:paraId="099FC724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0B4D8A95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Performance bias</w:t>
            </w:r>
          </w:p>
        </w:tc>
        <w:tc>
          <w:tcPr>
            <w:tcW w:w="712" w:type="pct"/>
            <w:vAlign w:val="center"/>
          </w:tcPr>
          <w:p w14:paraId="38CA2EB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eastAsia="微软雅黑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3F6E683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“Application of hydrogen peroxide to meninges” (Abstract); “applied the oxidant H₂O₂”</w:t>
            </w:r>
          </w:p>
        </w:tc>
      </w:tr>
      <w:tr w:rsidR="00C76574" w:rsidRPr="00C76574" w14:paraId="4C6912E3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51A7716A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Blinding outcome assessment</w:t>
            </w:r>
          </w:p>
        </w:tc>
        <w:tc>
          <w:tcPr>
            <w:tcW w:w="712" w:type="pct"/>
            <w:vAlign w:val="center"/>
          </w:tcPr>
          <w:p w14:paraId="1FB6D856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eastAsia="微软雅黑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4496132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mentioned: “frozen tissue samples were homogenized”</w:t>
            </w:r>
          </w:p>
        </w:tc>
      </w:tr>
      <w:tr w:rsidR="00C76574" w:rsidRPr="00C76574" w14:paraId="77BB00C5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76065AE4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Detection bias</w:t>
            </w:r>
          </w:p>
        </w:tc>
        <w:tc>
          <w:tcPr>
            <w:tcW w:w="712" w:type="pct"/>
            <w:vAlign w:val="center"/>
          </w:tcPr>
          <w:p w14:paraId="6CD9C128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eastAsia="微软雅黑" w:hAnsi="Times New Roman"/>
              </w:rPr>
              <w:t>Unclear</w:t>
            </w:r>
          </w:p>
        </w:tc>
        <w:tc>
          <w:tcPr>
            <w:tcW w:w="3274" w:type="pct"/>
            <w:vAlign w:val="center"/>
          </w:tcPr>
          <w:p w14:paraId="78D3FDC2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Not mentioned.</w:t>
            </w:r>
          </w:p>
        </w:tc>
      </w:tr>
      <w:tr w:rsidR="00C76574" w:rsidRPr="00C76574" w14:paraId="6C4AB8EF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5C198B2A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Incomplete outcome data</w:t>
            </w:r>
          </w:p>
        </w:tc>
        <w:tc>
          <w:tcPr>
            <w:tcW w:w="712" w:type="pct"/>
            <w:vAlign w:val="center"/>
          </w:tcPr>
          <w:p w14:paraId="5AFC9F00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eastAsia="微软雅黑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286CAD8D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animals included in the analysis: “Sample sizes (n-values) were explicitly reported for each group (</w:t>
            </w:r>
            <w:r w:rsidRPr="00C76574">
              <w:rPr>
                <w:rFonts w:ascii="Times New Roman" w:hAnsi="Times New Roman"/>
                <w:i/>
                <w:iCs/>
              </w:rPr>
              <w:t>e.g.</w:t>
            </w:r>
            <w:r w:rsidRPr="00C76574">
              <w:rPr>
                <w:rFonts w:ascii="Times New Roman" w:hAnsi="Times New Roman"/>
              </w:rPr>
              <w:t>, ‘n = 6 in CSD animals and n = 5 in sham control’, Fig. 2), with no mention of animal attrition or missing data.”</w:t>
            </w:r>
          </w:p>
        </w:tc>
      </w:tr>
      <w:tr w:rsidR="00C76574" w:rsidRPr="00C76574" w14:paraId="4759FC8E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09A5AA4E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Selective outcome reporting</w:t>
            </w:r>
          </w:p>
        </w:tc>
        <w:tc>
          <w:tcPr>
            <w:tcW w:w="712" w:type="pct"/>
            <w:vAlign w:val="center"/>
          </w:tcPr>
          <w:p w14:paraId="3383210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eastAsia="微软雅黑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4896768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All predefined primary outcomes were fully reported</w:t>
            </w:r>
            <w:r w:rsidRPr="00C76574">
              <w:rPr>
                <w:rFonts w:ascii="Times New Roman" w:eastAsia="宋体" w:hAnsi="Times New Roman"/>
              </w:rPr>
              <w:t>:</w:t>
            </w:r>
          </w:p>
          <w:p w14:paraId="4F4D542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“- MDA</w:t>
            </w:r>
            <w:r w:rsidRPr="00C76574">
              <w:rPr>
                <w:rFonts w:ascii="Times New Roman" w:eastAsia="宋体" w:hAnsi="Times New Roman"/>
              </w:rPr>
              <w:t xml:space="preserve">: </w:t>
            </w:r>
            <w:r w:rsidRPr="00C76574">
              <w:rPr>
                <w:rFonts w:ascii="Times New Roman" w:hAnsi="Times New Roman"/>
              </w:rPr>
              <w:t>Methods (TBARS assay) → Results (CSD induced changes in lipid peroxidation)</w:t>
            </w:r>
          </w:p>
          <w:p w14:paraId="64A36BAF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- Electrical activity</w:t>
            </w:r>
            <w:r w:rsidRPr="00C76574">
              <w:rPr>
                <w:rFonts w:ascii="Times New Roman" w:eastAsia="宋体" w:hAnsi="Times New Roman"/>
              </w:rPr>
              <w:t xml:space="preserve">: </w:t>
            </w:r>
            <w:r w:rsidRPr="00C76574">
              <w:rPr>
                <w:rFonts w:ascii="Times New Roman" w:hAnsi="Times New Roman"/>
              </w:rPr>
              <w:t>Methods (Electrical activity) → Results (H₂O₂ increases electrical activity)</w:t>
            </w:r>
          </w:p>
          <w:p w14:paraId="6C6705E4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- CGRP</w:t>
            </w:r>
            <w:r w:rsidRPr="00C76574">
              <w:rPr>
                <w:rFonts w:ascii="Times New Roman" w:eastAsia="宋体" w:hAnsi="Times New Roman"/>
              </w:rPr>
              <w:t xml:space="preserve">: </w:t>
            </w:r>
            <w:r w:rsidRPr="00C76574">
              <w:rPr>
                <w:rFonts w:ascii="Times New Roman" w:hAnsi="Times New Roman"/>
              </w:rPr>
              <w:t>Methods (CGRP release assay) → Results (H₂O₂ triggers CGRP release).”</w:t>
            </w:r>
          </w:p>
        </w:tc>
      </w:tr>
      <w:tr w:rsidR="00ED6FE0" w:rsidRPr="00C76574" w14:paraId="0F30CD39" w14:textId="77777777">
        <w:trPr>
          <w:trHeight w:val="113"/>
          <w:jc w:val="center"/>
        </w:trPr>
        <w:tc>
          <w:tcPr>
            <w:tcW w:w="1014" w:type="pct"/>
            <w:vAlign w:val="center"/>
          </w:tcPr>
          <w:p w14:paraId="623AAFD2" w14:textId="77777777" w:rsidR="00ED6FE0" w:rsidRPr="00C76574" w:rsidRDefault="00C73DED">
            <w:pPr>
              <w:ind w:firstLineChars="0" w:firstLine="0"/>
              <w:jc w:val="left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Other sources of bias</w:t>
            </w:r>
          </w:p>
        </w:tc>
        <w:tc>
          <w:tcPr>
            <w:tcW w:w="712" w:type="pct"/>
            <w:vAlign w:val="center"/>
          </w:tcPr>
          <w:p w14:paraId="0077FC23" w14:textId="77777777" w:rsidR="00ED6FE0" w:rsidRPr="00C76574" w:rsidRDefault="00C73DED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eastAsia="微软雅黑" w:hAnsi="Times New Roman"/>
              </w:rPr>
              <w:t>Low risk</w:t>
            </w:r>
          </w:p>
        </w:tc>
        <w:tc>
          <w:tcPr>
            <w:tcW w:w="3274" w:type="pct"/>
            <w:vAlign w:val="center"/>
          </w:tcPr>
          <w:p w14:paraId="16106CF6" w14:textId="77777777" w:rsidR="00ED6FE0" w:rsidRPr="00C76574" w:rsidRDefault="00C73DED">
            <w:pPr>
              <w:tabs>
                <w:tab w:val="left" w:pos="907"/>
              </w:tabs>
              <w:ind w:firstLineChars="0" w:firstLine="0"/>
              <w:jc w:val="center"/>
              <w:rPr>
                <w:rFonts w:ascii="Times New Roman" w:hAnsi="Times New Roman"/>
              </w:rPr>
            </w:pPr>
            <w:r w:rsidRPr="00C76574">
              <w:rPr>
                <w:rFonts w:ascii="Times New Roman" w:hAnsi="Times New Roman"/>
              </w:rPr>
              <w:t>shows no evidence of contamination, funder influence, or unit-of-analysis errors.</w:t>
            </w:r>
          </w:p>
        </w:tc>
      </w:tr>
      <w:bookmarkEnd w:id="3"/>
    </w:tbl>
    <w:p w14:paraId="5E3DB6FE" w14:textId="77777777" w:rsidR="00ED6FE0" w:rsidRPr="00C76574" w:rsidRDefault="00ED6FE0">
      <w:pPr>
        <w:ind w:firstLine="420"/>
      </w:pPr>
    </w:p>
    <w:p w14:paraId="00A22813" w14:textId="77777777" w:rsidR="00ED6FE0" w:rsidRPr="00C76574" w:rsidRDefault="00ED6FE0">
      <w:pPr>
        <w:ind w:firstLine="420"/>
      </w:pPr>
    </w:p>
    <w:sectPr w:rsidR="00ED6FE0" w:rsidRPr="00C765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2" w:right="992" w:bottom="992" w:left="992" w:header="283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B53BB" w14:textId="77777777" w:rsidR="00DF2EDF" w:rsidRDefault="00DF2EDF">
      <w:pPr>
        <w:ind w:firstLine="420"/>
      </w:pPr>
      <w:r>
        <w:separator/>
      </w:r>
    </w:p>
  </w:endnote>
  <w:endnote w:type="continuationSeparator" w:id="0">
    <w:p w14:paraId="1ED2E176" w14:textId="77777777" w:rsidR="00DF2EDF" w:rsidRDefault="00DF2EDF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Helvetica Neue">
    <w:charset w:val="00"/>
    <w:family w:val="auto"/>
    <w:pitch w:val="default"/>
    <w:sig w:usb0="E50002FF" w:usb1="500079DB" w:usb2="00000010" w:usb3="00000000" w:csb0="0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27E07" w14:textId="77777777" w:rsidR="00ED6FE0" w:rsidRDefault="00ED6FE0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1297055"/>
      <w:docPartObj>
        <w:docPartGallery w:val="AutoText"/>
      </w:docPartObj>
    </w:sdtPr>
    <w:sdtEndPr/>
    <w:sdtContent>
      <w:p w14:paraId="36FCC2CD" w14:textId="77777777" w:rsidR="00ED6FE0" w:rsidRDefault="00C73DED">
        <w:pPr>
          <w:pStyle w:val="a7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24182" w14:textId="77777777" w:rsidR="00ED6FE0" w:rsidRDefault="00ED6FE0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1782F" w14:textId="77777777" w:rsidR="00DF2EDF" w:rsidRDefault="00DF2EDF">
      <w:pPr>
        <w:ind w:firstLine="420"/>
      </w:pPr>
      <w:r>
        <w:separator/>
      </w:r>
    </w:p>
  </w:footnote>
  <w:footnote w:type="continuationSeparator" w:id="0">
    <w:p w14:paraId="7348341C" w14:textId="77777777" w:rsidR="00DF2EDF" w:rsidRDefault="00DF2EDF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FD07F" w14:textId="77777777" w:rsidR="00ED6FE0" w:rsidRDefault="00ED6FE0">
    <w:pPr>
      <w:pStyle w:val="a9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344BF" w14:textId="77777777" w:rsidR="00ED6FE0" w:rsidRDefault="00ED6FE0">
    <w:pPr>
      <w:pStyle w:val="a9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FA23E" w14:textId="77777777" w:rsidR="00ED6FE0" w:rsidRDefault="00ED6FE0">
    <w:pPr>
      <w:pStyle w:val="a9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61A69"/>
    <w:multiLevelType w:val="multilevel"/>
    <w:tmpl w:val="4D661A69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HorizontalSpacing w:val="110"/>
  <w:drawingGridVerticalSpacing w:val="156"/>
  <w:noPunctuationKerning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947"/>
    <w:rsid w:val="97DD8F6E"/>
    <w:rsid w:val="9FB7E810"/>
    <w:rsid w:val="AD3FE770"/>
    <w:rsid w:val="BFAFAB04"/>
    <w:rsid w:val="D3BFA005"/>
    <w:rsid w:val="EAEE7523"/>
    <w:rsid w:val="EEB63ABA"/>
    <w:rsid w:val="F1FFD10A"/>
    <w:rsid w:val="FBBFBA35"/>
    <w:rsid w:val="FDFFB2FC"/>
    <w:rsid w:val="FECE2046"/>
    <w:rsid w:val="FEDF6874"/>
    <w:rsid w:val="FF77C89A"/>
    <w:rsid w:val="FF9EB6CF"/>
    <w:rsid w:val="FFFFBD6B"/>
    <w:rsid w:val="0000313B"/>
    <w:rsid w:val="0001230F"/>
    <w:rsid w:val="00043712"/>
    <w:rsid w:val="00051474"/>
    <w:rsid w:val="000C4AEB"/>
    <w:rsid w:val="000E4775"/>
    <w:rsid w:val="00104B54"/>
    <w:rsid w:val="0016673A"/>
    <w:rsid w:val="00175A50"/>
    <w:rsid w:val="001831D2"/>
    <w:rsid w:val="001946E6"/>
    <w:rsid w:val="001C5BB5"/>
    <w:rsid w:val="001E2768"/>
    <w:rsid w:val="001E6E3C"/>
    <w:rsid w:val="00204CFC"/>
    <w:rsid w:val="00275A1A"/>
    <w:rsid w:val="00281EC4"/>
    <w:rsid w:val="002B752D"/>
    <w:rsid w:val="002D4745"/>
    <w:rsid w:val="0030299D"/>
    <w:rsid w:val="00317258"/>
    <w:rsid w:val="00352937"/>
    <w:rsid w:val="003743B6"/>
    <w:rsid w:val="00382E38"/>
    <w:rsid w:val="003A1E4A"/>
    <w:rsid w:val="003A269D"/>
    <w:rsid w:val="003E0624"/>
    <w:rsid w:val="004151E6"/>
    <w:rsid w:val="00416741"/>
    <w:rsid w:val="00431169"/>
    <w:rsid w:val="00445BBE"/>
    <w:rsid w:val="00447685"/>
    <w:rsid w:val="00452933"/>
    <w:rsid w:val="00466CCA"/>
    <w:rsid w:val="004A0966"/>
    <w:rsid w:val="004D4956"/>
    <w:rsid w:val="004F461C"/>
    <w:rsid w:val="00510947"/>
    <w:rsid w:val="00595037"/>
    <w:rsid w:val="005C4D7E"/>
    <w:rsid w:val="005E44B6"/>
    <w:rsid w:val="00626E27"/>
    <w:rsid w:val="00633CAD"/>
    <w:rsid w:val="00694CBB"/>
    <w:rsid w:val="006A1D4D"/>
    <w:rsid w:val="006A58AE"/>
    <w:rsid w:val="006B6AB5"/>
    <w:rsid w:val="006C1D20"/>
    <w:rsid w:val="006C260D"/>
    <w:rsid w:val="006C32C4"/>
    <w:rsid w:val="0070531D"/>
    <w:rsid w:val="00752654"/>
    <w:rsid w:val="00765248"/>
    <w:rsid w:val="00765DB0"/>
    <w:rsid w:val="00784341"/>
    <w:rsid w:val="007B395E"/>
    <w:rsid w:val="007B4E1F"/>
    <w:rsid w:val="007E3D9D"/>
    <w:rsid w:val="008556B5"/>
    <w:rsid w:val="00882927"/>
    <w:rsid w:val="00895690"/>
    <w:rsid w:val="008F083E"/>
    <w:rsid w:val="008F28FF"/>
    <w:rsid w:val="008F7A8E"/>
    <w:rsid w:val="009618E0"/>
    <w:rsid w:val="00964B35"/>
    <w:rsid w:val="009651E6"/>
    <w:rsid w:val="009837EB"/>
    <w:rsid w:val="009C17E1"/>
    <w:rsid w:val="00A220C8"/>
    <w:rsid w:val="00A269BB"/>
    <w:rsid w:val="00A5457B"/>
    <w:rsid w:val="00A868C3"/>
    <w:rsid w:val="00AA5EE7"/>
    <w:rsid w:val="00AC3A5E"/>
    <w:rsid w:val="00AD68BE"/>
    <w:rsid w:val="00AF6A7D"/>
    <w:rsid w:val="00B25833"/>
    <w:rsid w:val="00B27A39"/>
    <w:rsid w:val="00B66CA6"/>
    <w:rsid w:val="00C4619A"/>
    <w:rsid w:val="00C55AE9"/>
    <w:rsid w:val="00C57FB1"/>
    <w:rsid w:val="00C73DED"/>
    <w:rsid w:val="00C753F2"/>
    <w:rsid w:val="00C76574"/>
    <w:rsid w:val="00D127A8"/>
    <w:rsid w:val="00D473EA"/>
    <w:rsid w:val="00DB3B52"/>
    <w:rsid w:val="00DF2EDF"/>
    <w:rsid w:val="00E1625D"/>
    <w:rsid w:val="00E46090"/>
    <w:rsid w:val="00E734B1"/>
    <w:rsid w:val="00E953C7"/>
    <w:rsid w:val="00ED6FE0"/>
    <w:rsid w:val="00EE46DC"/>
    <w:rsid w:val="00EF25DC"/>
    <w:rsid w:val="00F56078"/>
    <w:rsid w:val="00F65B3D"/>
    <w:rsid w:val="00F66885"/>
    <w:rsid w:val="00FC6B35"/>
    <w:rsid w:val="37FF68EF"/>
    <w:rsid w:val="3EFFE56C"/>
    <w:rsid w:val="55FC0CE0"/>
    <w:rsid w:val="67B70AE5"/>
    <w:rsid w:val="6B7F05B2"/>
    <w:rsid w:val="6FAE6C73"/>
    <w:rsid w:val="72BC7A1D"/>
    <w:rsid w:val="76DBBB23"/>
    <w:rsid w:val="7DD7CE3A"/>
    <w:rsid w:val="7ED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5950C1F"/>
  <w15:docId w15:val="{58D17C34-167A-41AF-B7DF-5AE55081E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unhideWhenUsed="1" w:qFormat="1"/>
    <w:lsdException w:name="heading 3" w:uiPriority="9" w:unhideWhenUsed="1" w:qFormat="1"/>
    <w:lsdException w:name="heading 4" w:uiPriority="9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eastAsia="Times New Roman"/>
      <w:kern w:val="2"/>
      <w:sz w:val="21"/>
      <w:szCs w:val="21"/>
    </w:rPr>
  </w:style>
  <w:style w:type="paragraph" w:styleId="1">
    <w:name w:val="heading 1"/>
    <w:basedOn w:val="a"/>
    <w:next w:val="a"/>
    <w:link w:val="10"/>
    <w:autoRedefine/>
    <w:uiPriority w:val="1"/>
    <w:qFormat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pPr>
      <w:keepNext/>
      <w:keepLines/>
      <w:spacing w:beforeLines="50" w:before="156" w:afterLines="50" w:after="156"/>
      <w:ind w:firstLineChars="0" w:firstLine="0"/>
      <w:outlineLvl w:val="1"/>
    </w:pPr>
    <w:rPr>
      <w:b/>
      <w:bCs/>
      <w:i/>
      <w:sz w:val="2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pPr>
      <w:keepNext/>
      <w:keepLines/>
      <w:spacing w:beforeLines="50" w:before="156" w:afterLines="50" w:after="156"/>
      <w:ind w:firstLineChars="0" w:firstLine="0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ind w:firstLine="400"/>
    </w:pPr>
    <w:rPr>
      <w:kern w:val="0"/>
      <w:sz w:val="20"/>
      <w:szCs w:val="20"/>
    </w:rPr>
  </w:style>
  <w:style w:type="paragraph" w:styleId="a5">
    <w:name w:val="Body Text"/>
    <w:basedOn w:val="a"/>
    <w:link w:val="a6"/>
    <w:autoRedefine/>
    <w:uiPriority w:val="1"/>
    <w:qFormat/>
    <w:pPr>
      <w:autoSpaceDE w:val="0"/>
      <w:autoSpaceDN w:val="0"/>
      <w:adjustRightInd w:val="0"/>
      <w:ind w:firstLine="420"/>
    </w:pPr>
    <w:rPr>
      <w:kern w:val="0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  <w:rPr>
      <w:lang w:eastAsia="en-US"/>
    </w:rPr>
  </w:style>
  <w:style w:type="paragraph" w:styleId="ae">
    <w:name w:val="Title"/>
    <w:basedOn w:val="a"/>
    <w:next w:val="a"/>
    <w:link w:val="af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annotation subject"/>
    <w:basedOn w:val="a3"/>
    <w:next w:val="a3"/>
    <w:link w:val="af1"/>
    <w:uiPriority w:val="99"/>
    <w:semiHidden/>
    <w:unhideWhenUsed/>
    <w:pPr>
      <w:ind w:firstLine="200"/>
      <w:jc w:val="left"/>
    </w:pPr>
    <w:rPr>
      <w:b/>
      <w:bCs/>
      <w:kern w:val="2"/>
      <w:sz w:val="21"/>
      <w:szCs w:val="21"/>
    </w:rPr>
  </w:style>
  <w:style w:type="table" w:styleId="af2">
    <w:name w:val="Table Grid"/>
    <w:basedOn w:val="a1"/>
    <w:uiPriority w:val="59"/>
    <w:qFormat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line number"/>
    <w:uiPriority w:val="99"/>
    <w:semiHidden/>
    <w:unhideWhenUsed/>
  </w:style>
  <w:style w:type="character" w:styleId="af4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1"/>
    <w:rPr>
      <w:rFonts w:eastAsia="Times New Roman" w:cs="Book Antiqua"/>
      <w:b/>
      <w:bCs/>
      <w:sz w:val="24"/>
    </w:rPr>
  </w:style>
  <w:style w:type="character" w:customStyle="1" w:styleId="20">
    <w:name w:val="标题 2 字符"/>
    <w:link w:val="2"/>
    <w:uiPriority w:val="9"/>
    <w:rPr>
      <w:rFonts w:eastAsia="Times New Roman"/>
      <w:b/>
      <w:bCs/>
      <w:i/>
      <w:kern w:val="2"/>
      <w:sz w:val="22"/>
      <w:szCs w:val="21"/>
    </w:rPr>
  </w:style>
  <w:style w:type="character" w:customStyle="1" w:styleId="30">
    <w:name w:val="标题 3 字符"/>
    <w:link w:val="3"/>
    <w:uiPriority w:val="9"/>
    <w:rPr>
      <w:rFonts w:eastAsia="Times New Roman"/>
      <w:bCs/>
      <w:i/>
      <w:kern w:val="2"/>
      <w:sz w:val="22"/>
      <w:szCs w:val="32"/>
    </w:rPr>
  </w:style>
  <w:style w:type="character" w:customStyle="1" w:styleId="40">
    <w:name w:val="标题 4 字符"/>
    <w:link w:val="4"/>
    <w:uiPriority w:val="9"/>
    <w:rPr>
      <w:rFonts w:ascii="Calibri Light" w:eastAsia="NimbusRomNo9L" w:hAnsi="Calibri Light" w:cs="NimbusRomNo9L"/>
      <w:b/>
      <w:bCs/>
      <w:sz w:val="28"/>
      <w:szCs w:val="28"/>
    </w:rPr>
  </w:style>
  <w:style w:type="character" w:customStyle="1" w:styleId="50">
    <w:name w:val="标题 5 字符"/>
    <w:link w:val="5"/>
    <w:uiPriority w:val="9"/>
    <w:rPr>
      <w:rFonts w:eastAsia="Times New Roman"/>
      <w:b/>
      <w:bCs/>
      <w:kern w:val="2"/>
      <w:sz w:val="28"/>
      <w:szCs w:val="28"/>
    </w:rPr>
  </w:style>
  <w:style w:type="character" w:customStyle="1" w:styleId="60">
    <w:name w:val="标题 6 字符"/>
    <w:link w:val="6"/>
    <w:uiPriority w:val="9"/>
    <w:rPr>
      <w:rFonts w:ascii="等线 Light" w:eastAsia="等线 Light" w:hAnsi="等线 Light"/>
      <w:b/>
      <w:bCs/>
      <w:kern w:val="2"/>
      <w:sz w:val="24"/>
      <w:szCs w:val="24"/>
    </w:rPr>
  </w:style>
  <w:style w:type="character" w:customStyle="1" w:styleId="70">
    <w:name w:val="标题 7 字符"/>
    <w:link w:val="7"/>
    <w:uiPriority w:val="9"/>
    <w:rPr>
      <w:rFonts w:eastAsia="Times New Roman"/>
      <w:b/>
      <w:bCs/>
      <w:kern w:val="2"/>
      <w:sz w:val="24"/>
      <w:szCs w:val="24"/>
    </w:rPr>
  </w:style>
  <w:style w:type="character" w:customStyle="1" w:styleId="80">
    <w:name w:val="标题 8 字符"/>
    <w:link w:val="8"/>
    <w:uiPriority w:val="9"/>
    <w:rPr>
      <w:rFonts w:ascii="等线 Light" w:eastAsia="等线 Light" w:hAnsi="等线 Light"/>
      <w:kern w:val="2"/>
      <w:sz w:val="24"/>
      <w:szCs w:val="24"/>
    </w:rPr>
  </w:style>
  <w:style w:type="character" w:customStyle="1" w:styleId="90">
    <w:name w:val="标题 9 字符"/>
    <w:link w:val="9"/>
    <w:uiPriority w:val="9"/>
    <w:semiHidden/>
    <w:rPr>
      <w:rFonts w:ascii="等线 Light" w:eastAsia="等线 Light" w:hAnsi="等线 Light"/>
      <w:kern w:val="2"/>
      <w:sz w:val="21"/>
      <w:szCs w:val="21"/>
    </w:rPr>
  </w:style>
  <w:style w:type="character" w:customStyle="1" w:styleId="af">
    <w:name w:val="标题 字符"/>
    <w:basedOn w:val="a0"/>
    <w:link w:val="a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副标题 字符"/>
    <w:basedOn w:val="a0"/>
    <w:link w:val="ab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5">
    <w:name w:val="Quote"/>
    <w:basedOn w:val="a"/>
    <w:next w:val="a"/>
    <w:link w:val="af6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0"/>
    <w:link w:val="af5"/>
    <w:uiPriority w:val="29"/>
    <w:rPr>
      <w:i/>
      <w:iCs/>
      <w:color w:val="404040" w:themeColor="text1" w:themeTint="BF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8">
    <w:name w:val="Intense Quote"/>
    <w:basedOn w:val="a"/>
    <w:next w:val="a"/>
    <w:link w:val="af9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9">
    <w:name w:val="明显引用 字符"/>
    <w:basedOn w:val="a0"/>
    <w:link w:val="af8"/>
    <w:uiPriority w:val="30"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13">
    <w:name w:val="正文1"/>
    <w:pPr>
      <w:jc w:val="both"/>
    </w:pPr>
    <w:rPr>
      <w:kern w:val="2"/>
      <w:sz w:val="21"/>
      <w:szCs w:val="21"/>
    </w:rPr>
  </w:style>
  <w:style w:type="character" w:customStyle="1" w:styleId="15">
    <w:name w:val="15"/>
    <w:basedOn w:val="a0"/>
    <w:rPr>
      <w:rFonts w:ascii="Times New Roman" w:hAnsi="Times New Roman" w:cs="Times New Roman" w:hint="default"/>
      <w:b/>
    </w:rPr>
  </w:style>
  <w:style w:type="character" w:customStyle="1" w:styleId="font31">
    <w:name w:val="font31"/>
    <w:basedOn w:val="a0"/>
    <w:rPr>
      <w:rFonts w:ascii="Times New Roman Regular" w:eastAsia="Times New Roman Regular" w:hAnsi="Times New Roman Regular" w:cs="Times New Roman Regular" w:hint="default"/>
      <w:b/>
      <w:bCs/>
      <w:color w:val="000000"/>
      <w:sz w:val="22"/>
      <w:szCs w:val="22"/>
      <w:u w:val="none"/>
    </w:rPr>
  </w:style>
  <w:style w:type="character" w:customStyle="1" w:styleId="font21">
    <w:name w:val="font21"/>
    <w:basedOn w:val="a0"/>
    <w:rPr>
      <w:rFonts w:ascii="Times New Roman Regular" w:eastAsia="Times New Roman Regular" w:hAnsi="Times New Roman Regular" w:cs="Times New Roman Regular" w:hint="default"/>
      <w:color w:val="000000"/>
      <w:sz w:val="22"/>
      <w:szCs w:val="22"/>
      <w:u w:val="none"/>
    </w:rPr>
  </w:style>
  <w:style w:type="character" w:customStyle="1" w:styleId="aa">
    <w:name w:val="页眉 字符"/>
    <w:link w:val="a9"/>
    <w:uiPriority w:val="99"/>
    <w:rPr>
      <w:rFonts w:eastAsia="Times New Roman"/>
      <w:kern w:val="2"/>
      <w:sz w:val="18"/>
      <w:szCs w:val="18"/>
    </w:rPr>
  </w:style>
  <w:style w:type="character" w:customStyle="1" w:styleId="a8">
    <w:name w:val="页脚 字符"/>
    <w:link w:val="a7"/>
    <w:uiPriority w:val="99"/>
    <w:rPr>
      <w:rFonts w:eastAsia="Times New Roman"/>
      <w:kern w:val="2"/>
      <w:sz w:val="18"/>
      <w:szCs w:val="18"/>
    </w:rPr>
  </w:style>
  <w:style w:type="paragraph" w:customStyle="1" w:styleId="afa">
    <w:name w:val="表题"/>
    <w:basedOn w:val="a"/>
    <w:autoRedefine/>
    <w:qFormat/>
    <w:pPr>
      <w:spacing w:beforeLines="100" w:before="312" w:afterLines="100" w:after="312"/>
      <w:ind w:firstLineChars="0" w:firstLine="0"/>
      <w:jc w:val="center"/>
    </w:pPr>
    <w:rPr>
      <w:b/>
    </w:rPr>
  </w:style>
  <w:style w:type="paragraph" w:customStyle="1" w:styleId="afb">
    <w:name w:val="表注"/>
    <w:basedOn w:val="afa"/>
    <w:autoRedefine/>
    <w:qFormat/>
    <w:pPr>
      <w:adjustRightInd w:val="0"/>
      <w:snapToGrid w:val="0"/>
      <w:spacing w:beforeLines="0" w:before="0" w:afterLines="0" w:after="0"/>
      <w:jc w:val="both"/>
    </w:pPr>
    <w:rPr>
      <w:b w:val="0"/>
    </w:rPr>
  </w:style>
  <w:style w:type="paragraph" w:customStyle="1" w:styleId="afc">
    <w:name w:val="参考文献"/>
    <w:basedOn w:val="a"/>
    <w:autoRedefine/>
    <w:qFormat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fd">
    <w:name w:val="稿件类型"/>
    <w:basedOn w:val="a"/>
    <w:autoRedefine/>
    <w:qFormat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fe">
    <w:name w:val="关键词"/>
    <w:basedOn w:val="a"/>
    <w:autoRedefine/>
    <w:qFormat/>
    <w:pPr>
      <w:ind w:firstLineChars="0" w:firstLine="0"/>
    </w:pPr>
  </w:style>
  <w:style w:type="paragraph" w:customStyle="1" w:styleId="aff">
    <w:name w:val="机构信息"/>
    <w:basedOn w:val="a"/>
    <w:link w:val="aff0"/>
    <w:autoRedefine/>
    <w:qFormat/>
    <w:pPr>
      <w:ind w:firstLineChars="0" w:firstLine="0"/>
    </w:pPr>
    <w:rPr>
      <w:i/>
    </w:rPr>
  </w:style>
  <w:style w:type="character" w:customStyle="1" w:styleId="aff0">
    <w:name w:val="机构信息 字符"/>
    <w:link w:val="aff"/>
    <w:rPr>
      <w:rFonts w:eastAsia="Times New Roman"/>
      <w:i/>
      <w:kern w:val="2"/>
      <w:sz w:val="21"/>
      <w:szCs w:val="21"/>
    </w:rPr>
  </w:style>
  <w:style w:type="paragraph" w:customStyle="1" w:styleId="aff1">
    <w:name w:val="接收日期"/>
    <w:basedOn w:val="a"/>
    <w:autoRedefine/>
    <w:qFormat/>
    <w:pPr>
      <w:ind w:firstLineChars="0" w:firstLine="0"/>
    </w:pPr>
  </w:style>
  <w:style w:type="character" w:customStyle="1" w:styleId="a4">
    <w:name w:val="批注文字 字符"/>
    <w:basedOn w:val="a0"/>
    <w:link w:val="a3"/>
    <w:uiPriority w:val="99"/>
    <w:qFormat/>
    <w:rPr>
      <w:rFonts w:eastAsia="Times New Roman"/>
    </w:rPr>
  </w:style>
  <w:style w:type="paragraph" w:customStyle="1" w:styleId="aff2">
    <w:name w:val="通讯作者"/>
    <w:basedOn w:val="a"/>
    <w:autoRedefine/>
    <w:qFormat/>
    <w:pPr>
      <w:ind w:firstLineChars="0" w:firstLine="0"/>
    </w:pPr>
  </w:style>
  <w:style w:type="paragraph" w:customStyle="1" w:styleId="aff3">
    <w:name w:val="图注"/>
    <w:basedOn w:val="afb"/>
    <w:autoRedefine/>
    <w:qFormat/>
  </w:style>
  <w:style w:type="paragraph" w:customStyle="1" w:styleId="aff4">
    <w:name w:val="文章标题"/>
    <w:basedOn w:val="a"/>
    <w:link w:val="aff5"/>
    <w:autoRedefine/>
    <w:qFormat/>
    <w:pPr>
      <w:kinsoku w:val="0"/>
      <w:overflowPunct w:val="0"/>
      <w:autoSpaceDE w:val="0"/>
      <w:autoSpaceDN w:val="0"/>
      <w:adjustRightInd w:val="0"/>
      <w:ind w:firstLineChars="0" w:firstLine="0"/>
      <w:jc w:val="center"/>
    </w:pPr>
    <w:rPr>
      <w:rFonts w:eastAsia="宋体"/>
      <w:b/>
      <w:bCs/>
      <w:spacing w:val="-8"/>
      <w:sz w:val="36"/>
      <w:szCs w:val="36"/>
    </w:rPr>
  </w:style>
  <w:style w:type="character" w:customStyle="1" w:styleId="aff5">
    <w:name w:val="文章标题 字符"/>
    <w:link w:val="aff4"/>
    <w:rPr>
      <w:b/>
      <w:bCs/>
      <w:spacing w:val="-8"/>
      <w:kern w:val="2"/>
      <w:sz w:val="36"/>
      <w:szCs w:val="36"/>
    </w:rPr>
  </w:style>
  <w:style w:type="paragraph" w:customStyle="1" w:styleId="aff6">
    <w:name w:val="文章内容"/>
    <w:basedOn w:val="a"/>
    <w:link w:val="aff7"/>
    <w:autoRedefine/>
    <w:pPr>
      <w:ind w:firstLine="420"/>
    </w:pPr>
    <w:rPr>
      <w:color w:val="000000"/>
    </w:rPr>
  </w:style>
  <w:style w:type="character" w:customStyle="1" w:styleId="aff7">
    <w:name w:val="文章内容 字符"/>
    <w:link w:val="aff6"/>
    <w:rPr>
      <w:rFonts w:eastAsia="Times New Roman"/>
      <w:color w:val="000000"/>
      <w:kern w:val="2"/>
      <w:sz w:val="21"/>
      <w:szCs w:val="21"/>
    </w:rPr>
  </w:style>
  <w:style w:type="paragraph" w:customStyle="1" w:styleId="aff8">
    <w:name w:val="摘要"/>
    <w:basedOn w:val="a"/>
    <w:autoRedefine/>
    <w:qFormat/>
    <w:pPr>
      <w:ind w:firstLineChars="0" w:firstLine="0"/>
    </w:pPr>
  </w:style>
  <w:style w:type="character" w:styleId="aff9">
    <w:name w:val="Placeholder Text"/>
    <w:uiPriority w:val="99"/>
    <w:semiHidden/>
    <w:rPr>
      <w:color w:val="808080"/>
    </w:rPr>
  </w:style>
  <w:style w:type="character" w:customStyle="1" w:styleId="a6">
    <w:name w:val="正文文本 字符"/>
    <w:link w:val="a5"/>
    <w:uiPriority w:val="1"/>
    <w:rPr>
      <w:rFonts w:eastAsia="Times New Roman"/>
      <w:sz w:val="21"/>
      <w:szCs w:val="21"/>
    </w:rPr>
  </w:style>
  <w:style w:type="paragraph" w:customStyle="1" w:styleId="affa">
    <w:name w:val="致谢部分"/>
    <w:basedOn w:val="a5"/>
    <w:link w:val="affb"/>
    <w:autoRedefine/>
    <w:qFormat/>
    <w:pPr>
      <w:ind w:firstLineChars="0" w:firstLine="0"/>
    </w:pPr>
    <w:rPr>
      <w:b/>
      <w:sz w:val="24"/>
      <w:szCs w:val="24"/>
    </w:rPr>
  </w:style>
  <w:style w:type="character" w:customStyle="1" w:styleId="affb">
    <w:name w:val="致谢部分 字符"/>
    <w:link w:val="affa"/>
    <w:rPr>
      <w:rFonts w:eastAsia="Times New Roman"/>
      <w:b/>
      <w:sz w:val="24"/>
      <w:szCs w:val="24"/>
    </w:rPr>
  </w:style>
  <w:style w:type="paragraph" w:customStyle="1" w:styleId="affc">
    <w:name w:val="作者信息"/>
    <w:basedOn w:val="a"/>
    <w:autoRedefine/>
    <w:qFormat/>
    <w:pPr>
      <w:ind w:firstLineChars="0" w:firstLine="0"/>
    </w:pPr>
  </w:style>
  <w:style w:type="character" w:customStyle="1" w:styleId="af1">
    <w:name w:val="批注主题 字符"/>
    <w:basedOn w:val="a4"/>
    <w:link w:val="af0"/>
    <w:uiPriority w:val="99"/>
    <w:semiHidden/>
    <w:rPr>
      <w:rFonts w:eastAsia="Times New Roman"/>
      <w:b/>
      <w:bCs/>
      <w:kern w:val="2"/>
      <w:sz w:val="21"/>
      <w:szCs w:val="21"/>
    </w:rPr>
  </w:style>
  <w:style w:type="paragraph" w:styleId="affd">
    <w:name w:val="Revision"/>
    <w:hidden/>
    <w:uiPriority w:val="99"/>
    <w:unhideWhenUsed/>
    <w:rsid w:val="00175A50"/>
    <w:rPr>
      <w:rFonts w:eastAsia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2771</Words>
  <Characters>16567</Characters>
  <Application>Microsoft Office Word</Application>
  <DocSecurity>0</DocSecurity>
  <Lines>138</Lines>
  <Paragraphs>38</Paragraphs>
  <ScaleCrop>false</ScaleCrop>
  <Company/>
  <LinksUpToDate>false</LinksUpToDate>
  <CharactersWithSpaces>19300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user</dc:creator>
  <cp:lastModifiedBy>Daisy</cp:lastModifiedBy>
  <cp:revision>13</cp:revision>
  <dcterms:created xsi:type="dcterms:W3CDTF">2026-08-04T01:38:00Z</dcterms:created>
  <dcterms:modified xsi:type="dcterms:W3CDTF">2026-08-13T06:57:00Z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C794A003E8DE4FF948695E683ECE4313_43</vt:lpwstr>
  </property>
</Properties>
</file>